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58A" w:rsidRDefault="00D5258A">
      <w:pPr>
        <w:pStyle w:val="BodyText"/>
        <w:spacing w:line="480" w:lineRule="auto"/>
        <w:ind w:left="72"/>
        <w:jc w:val="both"/>
        <w:rPr>
          <w:szCs w:val="36"/>
        </w:rPr>
      </w:pPr>
      <w:r>
        <w:rPr>
          <w:rFonts w:ascii="Times New Roman" w:hAnsi="Times New Roman"/>
          <w:szCs w:val="36"/>
        </w:rPr>
        <w:t>Pharmaco-metabonomic phenotyping and personalised drug treatment</w:t>
      </w:r>
    </w:p>
    <w:p w:rsidR="00D5258A" w:rsidRDefault="00D5258A">
      <w:pPr>
        <w:spacing w:line="480" w:lineRule="auto"/>
        <w:ind w:left="72"/>
        <w:jc w:val="both"/>
        <w:rPr>
          <w:rFonts w:ascii="Times New Roman" w:hAnsi="Times New Roman"/>
          <w:color w:val="000000"/>
        </w:rPr>
      </w:pPr>
    </w:p>
    <w:p w:rsidR="00D5258A" w:rsidRDefault="00D5258A">
      <w:pPr>
        <w:spacing w:line="480" w:lineRule="auto"/>
        <w:ind w:left="72"/>
        <w:jc w:val="both"/>
        <w:rPr>
          <w:rFonts w:ascii="Times New Roman" w:hAnsi="Times New Roman"/>
          <w:color w:val="000000"/>
        </w:rPr>
      </w:pPr>
      <w:r>
        <w:rPr>
          <w:rFonts w:ascii="Times New Roman" w:hAnsi="Times New Roman"/>
          <w:color w:val="000000"/>
        </w:rPr>
        <w:t>T. Andrew Clayton</w:t>
      </w:r>
      <w:r>
        <w:rPr>
          <w:rStyle w:val="FootnoteReference"/>
          <w:rFonts w:ascii="Times New Roman" w:hAnsi="Times New Roman"/>
          <w:color w:val="000000"/>
        </w:rPr>
        <w:footnoteReference w:id="1"/>
      </w:r>
      <w:r>
        <w:rPr>
          <w:rFonts w:ascii="Times New Roman" w:hAnsi="Times New Roman"/>
          <w:color w:val="000000"/>
        </w:rPr>
        <w:t>, John C. Lindon</w:t>
      </w:r>
      <w:r>
        <w:rPr>
          <w:rFonts w:ascii="Times New Roman" w:hAnsi="Times New Roman"/>
          <w:color w:val="000000"/>
          <w:vertAlign w:val="superscript"/>
        </w:rPr>
        <w:t>1</w:t>
      </w:r>
      <w:r>
        <w:rPr>
          <w:rFonts w:ascii="Times New Roman" w:hAnsi="Times New Roman"/>
          <w:color w:val="000000"/>
        </w:rPr>
        <w:t xml:space="preserve">, </w:t>
      </w:r>
      <w:r w:rsidR="00CB4A8C">
        <w:rPr>
          <w:rFonts w:ascii="Times New Roman" w:hAnsi="Times New Roman"/>
          <w:color w:val="000000"/>
        </w:rPr>
        <w:t>Olivier Cloarec</w:t>
      </w:r>
      <w:r w:rsidR="00CB4A8C" w:rsidRPr="00CB4A8C">
        <w:rPr>
          <w:rFonts w:ascii="Times New Roman" w:hAnsi="Times New Roman"/>
          <w:color w:val="000000"/>
          <w:szCs w:val="28"/>
          <w:vertAlign w:val="superscript"/>
        </w:rPr>
        <w:t>1</w:t>
      </w:r>
      <w:r w:rsidR="00CB4A8C">
        <w:rPr>
          <w:rFonts w:ascii="Times New Roman" w:hAnsi="Times New Roman"/>
          <w:color w:val="000000"/>
        </w:rPr>
        <w:t xml:space="preserve">, </w:t>
      </w:r>
      <w:r>
        <w:rPr>
          <w:rFonts w:ascii="Times New Roman" w:hAnsi="Times New Roman"/>
          <w:color w:val="000000"/>
        </w:rPr>
        <w:t>Henrik Antti</w:t>
      </w:r>
      <w:r>
        <w:rPr>
          <w:rFonts w:ascii="Times New Roman" w:hAnsi="Times New Roman"/>
          <w:color w:val="000000"/>
          <w:vertAlign w:val="superscript"/>
        </w:rPr>
        <w:t>2</w:t>
      </w:r>
      <w:r>
        <w:rPr>
          <w:rFonts w:ascii="Times New Roman" w:hAnsi="Times New Roman"/>
          <w:color w:val="000000"/>
        </w:rPr>
        <w:t>, Claude Charuel</w:t>
      </w:r>
      <w:r>
        <w:rPr>
          <w:rFonts w:ascii="Times New Roman" w:hAnsi="Times New Roman"/>
          <w:color w:val="000000"/>
          <w:vertAlign w:val="superscript"/>
        </w:rPr>
        <w:t>3</w:t>
      </w:r>
      <w:r>
        <w:rPr>
          <w:rFonts w:ascii="Times New Roman" w:hAnsi="Times New Roman"/>
          <w:color w:val="000000"/>
        </w:rPr>
        <w:t>, Gilles Hanton</w:t>
      </w:r>
      <w:r>
        <w:rPr>
          <w:rFonts w:ascii="Times New Roman" w:hAnsi="Times New Roman"/>
          <w:color w:val="000000"/>
          <w:vertAlign w:val="superscript"/>
        </w:rPr>
        <w:t>3</w:t>
      </w:r>
      <w:r>
        <w:rPr>
          <w:rFonts w:ascii="Times New Roman" w:hAnsi="Times New Roman"/>
          <w:color w:val="000000"/>
        </w:rPr>
        <w:t>, Jean-Pierre Provost</w:t>
      </w:r>
      <w:r>
        <w:rPr>
          <w:rFonts w:ascii="Times New Roman" w:hAnsi="Times New Roman"/>
          <w:color w:val="000000"/>
          <w:vertAlign w:val="superscript"/>
        </w:rPr>
        <w:t>3</w:t>
      </w:r>
      <w:r>
        <w:rPr>
          <w:rFonts w:ascii="Times New Roman" w:hAnsi="Times New Roman"/>
          <w:color w:val="000000"/>
        </w:rPr>
        <w:t>, Jean-Loïc Le Net</w:t>
      </w:r>
      <w:r>
        <w:rPr>
          <w:rFonts w:ascii="Times New Roman" w:hAnsi="Times New Roman"/>
          <w:color w:val="000000"/>
          <w:vertAlign w:val="superscript"/>
        </w:rPr>
        <w:t>3</w:t>
      </w:r>
      <w:r>
        <w:rPr>
          <w:rFonts w:ascii="Times New Roman" w:hAnsi="Times New Roman"/>
          <w:color w:val="000000"/>
        </w:rPr>
        <w:t>, David Baker</w:t>
      </w:r>
      <w:r>
        <w:rPr>
          <w:rFonts w:ascii="Times New Roman" w:hAnsi="Times New Roman"/>
          <w:color w:val="000000"/>
          <w:vertAlign w:val="superscript"/>
        </w:rPr>
        <w:t>4</w:t>
      </w:r>
      <w:r>
        <w:rPr>
          <w:rFonts w:ascii="Times New Roman" w:hAnsi="Times New Roman"/>
          <w:color w:val="000000"/>
        </w:rPr>
        <w:t>, Rosalind J. Walley</w:t>
      </w:r>
      <w:r>
        <w:rPr>
          <w:rFonts w:ascii="Times New Roman" w:hAnsi="Times New Roman"/>
          <w:color w:val="000000"/>
          <w:vertAlign w:val="superscript"/>
        </w:rPr>
        <w:t>5</w:t>
      </w:r>
      <w:r>
        <w:rPr>
          <w:rFonts w:ascii="Times New Roman" w:hAnsi="Times New Roman"/>
          <w:color w:val="000000"/>
        </w:rPr>
        <w:t>, Jeremy R. Everett</w:t>
      </w:r>
      <w:r>
        <w:rPr>
          <w:rFonts w:ascii="Times New Roman" w:hAnsi="Times New Roman"/>
          <w:color w:val="000000"/>
          <w:vertAlign w:val="superscript"/>
        </w:rPr>
        <w:t>5</w:t>
      </w:r>
      <w:r>
        <w:rPr>
          <w:rFonts w:ascii="Times New Roman" w:hAnsi="Times New Roman"/>
          <w:color w:val="000000"/>
        </w:rPr>
        <w:t xml:space="preserve"> and Jeremy K. Nicholson</w:t>
      </w:r>
      <w:r>
        <w:rPr>
          <w:rFonts w:ascii="Times New Roman" w:hAnsi="Times New Roman"/>
          <w:color w:val="000000"/>
          <w:vertAlign w:val="superscript"/>
        </w:rPr>
        <w:t>1</w:t>
      </w:r>
    </w:p>
    <w:p w:rsidR="00D5258A" w:rsidRDefault="00D5258A">
      <w:pPr>
        <w:ind w:left="72"/>
        <w:jc w:val="both"/>
        <w:rPr>
          <w:rFonts w:ascii="Times New Roman" w:hAnsi="Times New Roman"/>
          <w:color w:val="000000"/>
        </w:rPr>
      </w:pPr>
    </w:p>
    <w:p w:rsidR="00D5258A" w:rsidRDefault="00D5258A">
      <w:pPr>
        <w:ind w:left="72"/>
        <w:jc w:val="both"/>
        <w:rPr>
          <w:rFonts w:ascii="Times New Roman" w:hAnsi="Times New Roman"/>
          <w:color w:val="000000"/>
        </w:rPr>
      </w:pPr>
    </w:p>
    <w:p w:rsidR="00D5258A" w:rsidRDefault="00D5258A">
      <w:pPr>
        <w:pStyle w:val="BodyText2"/>
        <w:spacing w:line="480" w:lineRule="auto"/>
        <w:jc w:val="both"/>
      </w:pPr>
      <w:r>
        <w:rPr>
          <w:rFonts w:ascii="Times New Roman" w:hAnsi="Times New Roman"/>
          <w:color w:val="000000"/>
          <w:szCs w:val="28"/>
        </w:rPr>
        <w:t>There is a clear case for drug treatments to be selected according to the characteristics of the individual patient in order to improve efficacy and to reduce the number and severity of adverse drug reactions</w:t>
      </w:r>
      <w:r>
        <w:rPr>
          <w:rFonts w:ascii="Times New Roman" w:hAnsi="Times New Roman"/>
          <w:color w:val="000000"/>
          <w:szCs w:val="28"/>
          <w:vertAlign w:val="superscript"/>
        </w:rPr>
        <w:t>1</w:t>
      </w:r>
      <w:proofErr w:type="gramStart"/>
      <w:r>
        <w:rPr>
          <w:rFonts w:ascii="Times New Roman" w:hAnsi="Times New Roman"/>
          <w:color w:val="000000"/>
          <w:szCs w:val="28"/>
          <w:vertAlign w:val="superscript"/>
        </w:rPr>
        <w:t>,2</w:t>
      </w:r>
      <w:proofErr w:type="gramEnd"/>
      <w:r>
        <w:rPr>
          <w:rFonts w:ascii="Times New Roman" w:hAnsi="Times New Roman"/>
          <w:color w:val="000000"/>
          <w:szCs w:val="28"/>
        </w:rPr>
        <w:t>.  However, such personalisation of drug treatment requires the ability to predict how different individuals will respond to a particular drug/dose combination and, following initial optimism, there is increasing recognition of the limitations of the pharmacogenomic approach, which does not take account of important environmental influences on drug absorption, distribution, metabolism and excretion</w:t>
      </w:r>
      <w:r>
        <w:rPr>
          <w:rFonts w:ascii="Times New Roman" w:hAnsi="Times New Roman"/>
          <w:color w:val="000000"/>
          <w:szCs w:val="28"/>
          <w:vertAlign w:val="superscript"/>
        </w:rPr>
        <w:t>3-5</w:t>
      </w:r>
      <w:r>
        <w:rPr>
          <w:rFonts w:ascii="Times New Roman" w:hAnsi="Times New Roman"/>
          <w:color w:val="000000"/>
          <w:szCs w:val="28"/>
        </w:rPr>
        <w:t>.  For instance, a major factor underlying inter-individual variation in drug effects is variation in metabolic phenotype, which is influenced not only by genotype but also by environmental factors such nutritional status, the gut microbiota, age, disease and the co- or pre-administration of other drugs</w:t>
      </w:r>
      <w:r>
        <w:rPr>
          <w:rFonts w:ascii="Times New Roman" w:hAnsi="Times New Roman"/>
          <w:color w:val="000000"/>
          <w:szCs w:val="28"/>
          <w:vertAlign w:val="superscript"/>
        </w:rPr>
        <w:t>6,7</w:t>
      </w:r>
      <w:r>
        <w:rPr>
          <w:rFonts w:ascii="Times New Roman" w:hAnsi="Times New Roman"/>
          <w:color w:val="000000"/>
          <w:szCs w:val="28"/>
        </w:rPr>
        <w:t xml:space="preserve">.  Thus, </w:t>
      </w:r>
      <w:r>
        <w:rPr>
          <w:rFonts w:ascii="Times New Roman" w:hAnsi="Times New Roman"/>
          <w:color w:val="000000"/>
          <w:szCs w:val="28"/>
        </w:rPr>
        <w:lastRenderedPageBreak/>
        <w:t>whilst genetic variation is clearly important</w:t>
      </w:r>
      <w:r w:rsidR="001B48E7">
        <w:rPr>
          <w:rFonts w:ascii="Times New Roman" w:hAnsi="Times New Roman"/>
          <w:color w:val="000000"/>
          <w:szCs w:val="28"/>
        </w:rPr>
        <w:t>, it seems unlikely that personalised d</w:t>
      </w:r>
      <w:r w:rsidR="009F3C4C">
        <w:rPr>
          <w:rFonts w:ascii="Times New Roman" w:hAnsi="Times New Roman"/>
          <w:color w:val="000000"/>
          <w:szCs w:val="28"/>
        </w:rPr>
        <w:t xml:space="preserve">rug therapy </w:t>
      </w:r>
      <w:r w:rsidR="001B48E7">
        <w:rPr>
          <w:rFonts w:ascii="Times New Roman" w:hAnsi="Times New Roman"/>
          <w:color w:val="000000"/>
          <w:szCs w:val="28"/>
        </w:rPr>
        <w:t xml:space="preserve">will be enabled </w:t>
      </w:r>
      <w:r w:rsidR="009F3C4C">
        <w:rPr>
          <w:rFonts w:ascii="Times New Roman" w:hAnsi="Times New Roman"/>
          <w:color w:val="000000"/>
          <w:szCs w:val="28"/>
        </w:rPr>
        <w:t>for a wide range of major diseases</w:t>
      </w:r>
      <w:r w:rsidR="009872D4">
        <w:rPr>
          <w:rFonts w:ascii="Times New Roman" w:hAnsi="Times New Roman"/>
          <w:color w:val="000000"/>
          <w:szCs w:val="28"/>
        </w:rPr>
        <w:t xml:space="preserve"> </w:t>
      </w:r>
      <w:r>
        <w:rPr>
          <w:rFonts w:ascii="Times New Roman" w:hAnsi="Times New Roman"/>
          <w:color w:val="000000"/>
          <w:szCs w:val="28"/>
        </w:rPr>
        <w:t>using genomic knowledge alone.  We describe here an alternative and conceptually new ‘pharmaco-metabonomic’ approach to personalising drug treatment, which uses a combination of pre-dose metabolite profiling and chemometrics to model and predict the responses of individual subjects.  We provide ‘proof-of-principle’ for this new approach, which is sensitive to both genetic and environmental influences, with a study of paracetamol (acetaminophen) administered to rats, which demonstrates pre-dose prediction of an aspect of the urinary drug metabolite profile and an association between pre-dose urinary composition and the extent of the liver damage sustained post-dose.   Additional results from related studies on galactosamine and allyl alcohol are also presented.</w:t>
      </w:r>
    </w:p>
    <w:p w:rsidR="00D5258A" w:rsidRDefault="00D5258A">
      <w:pPr>
        <w:pStyle w:val="BodyText2"/>
        <w:spacing w:line="480" w:lineRule="auto"/>
        <w:ind w:left="72"/>
        <w:jc w:val="both"/>
        <w:rPr>
          <w:rFonts w:ascii="Times New Roman" w:hAnsi="Times New Roman"/>
          <w:color w:val="000000"/>
        </w:rPr>
      </w:pPr>
    </w:p>
    <w:p w:rsidR="00D5258A" w:rsidRDefault="00D5258A">
      <w:pPr>
        <w:pStyle w:val="BodyText2"/>
        <w:spacing w:line="480" w:lineRule="auto"/>
        <w:jc w:val="both"/>
        <w:rPr>
          <w:rFonts w:ascii="Times New Roman" w:hAnsi="Times New Roman"/>
          <w:b w:val="0"/>
          <w:color w:val="000000"/>
        </w:rPr>
      </w:pPr>
    </w:p>
    <w:p w:rsidR="00D5258A" w:rsidRDefault="00D5258A">
      <w:pPr>
        <w:pStyle w:val="BodyText2"/>
        <w:spacing w:line="480" w:lineRule="auto"/>
        <w:jc w:val="both"/>
        <w:rPr>
          <w:rFonts w:ascii="Times New Roman" w:hAnsi="Times New Roman"/>
          <w:b w:val="0"/>
          <w:color w:val="000000"/>
        </w:rPr>
      </w:pPr>
      <w:r>
        <w:rPr>
          <w:rFonts w:ascii="Times New Roman" w:hAnsi="Times New Roman"/>
          <w:b w:val="0"/>
          <w:color w:val="000000"/>
          <w:szCs w:val="28"/>
          <w:vertAlign w:val="superscript"/>
        </w:rPr>
        <w:t>1</w:t>
      </w:r>
      <w:r>
        <w:rPr>
          <w:rFonts w:ascii="Times New Roman" w:hAnsi="Times New Roman"/>
          <w:b w:val="0"/>
          <w:color w:val="000000"/>
        </w:rPr>
        <w:t>H NMR spectroscopy has been widely applied as a metabolite profiling tool for metabonomic studies as it enables many endogenous metabolites to be quantified rapidly and reproducibly without derivatisation or separation</w:t>
      </w:r>
      <w:r>
        <w:rPr>
          <w:rFonts w:ascii="Times New Roman" w:hAnsi="Times New Roman"/>
          <w:b w:val="0"/>
          <w:color w:val="000000"/>
          <w:szCs w:val="28"/>
          <w:vertAlign w:val="superscript"/>
        </w:rPr>
        <w:t>8-11</w:t>
      </w:r>
      <w:r>
        <w:rPr>
          <w:rFonts w:ascii="Times New Roman" w:hAnsi="Times New Roman"/>
          <w:b w:val="0"/>
          <w:color w:val="000000"/>
        </w:rPr>
        <w:t>.  In one of many potential applications, NMR-based metabonomic analysis of post-dose rodent biofluids has been developed as a rapid and non-invasive means of assessing the toxicity of potential drug compounds and this has involved studying the effects of a variety of model toxins</w:t>
      </w:r>
      <w:r>
        <w:rPr>
          <w:rFonts w:ascii="Times New Roman" w:hAnsi="Times New Roman"/>
          <w:b w:val="0"/>
          <w:color w:val="000000"/>
          <w:szCs w:val="28"/>
          <w:vertAlign w:val="superscript"/>
        </w:rPr>
        <w:t>12</w:t>
      </w:r>
      <w:r>
        <w:rPr>
          <w:rFonts w:ascii="Times New Roman" w:hAnsi="Times New Roman"/>
          <w:b w:val="0"/>
          <w:color w:val="000000"/>
        </w:rPr>
        <w:t xml:space="preserve">.  In one such study, we dosed galactosamine hydrochloride (800 mg/kg) to a group of ten rats and found the extent of the induced effects to be so variable that the rats could be classified as either “responders” or “non-responders”. Searching for </w:t>
      </w:r>
      <w:r>
        <w:rPr>
          <w:rFonts w:ascii="Times New Roman" w:hAnsi="Times New Roman"/>
          <w:b w:val="0"/>
          <w:color w:val="000000"/>
        </w:rPr>
        <w:lastRenderedPageBreak/>
        <w:t xml:space="preserve">the cause of this variation, we performed Principal Components Analysis (PCA) on the NMR spectra of the relevant pre-dose urine samples and observed some discrimination between the responder and non-responder groups in terms of their </w:t>
      </w:r>
      <w:r w:rsidR="008C00C6">
        <w:rPr>
          <w:rFonts w:ascii="Times New Roman" w:hAnsi="Times New Roman"/>
          <w:b w:val="0"/>
          <w:color w:val="000000"/>
        </w:rPr>
        <w:t>pre-dose metabolite profiles</w:t>
      </w:r>
      <w:r>
        <w:rPr>
          <w:rFonts w:ascii="Times New Roman" w:hAnsi="Times New Roman"/>
          <w:b w:val="0"/>
          <w:color w:val="000000"/>
        </w:rPr>
        <w:t xml:space="preserve"> (Fig. 1a).  Whilst this result was not sufficient to say that galactosamine responder/non-responder behaviour </w:t>
      </w:r>
      <w:r w:rsidR="00B16341">
        <w:rPr>
          <w:rFonts w:ascii="Times New Roman" w:hAnsi="Times New Roman"/>
          <w:b w:val="0"/>
          <w:color w:val="000000"/>
        </w:rPr>
        <w:t>is predictable</w:t>
      </w:r>
      <w:r>
        <w:rPr>
          <w:rFonts w:ascii="Times New Roman" w:hAnsi="Times New Roman"/>
          <w:b w:val="0"/>
          <w:color w:val="000000"/>
        </w:rPr>
        <w:t xml:space="preserve">, it suggested that information on individual responses to xenobiotics might be </w:t>
      </w:r>
      <w:r w:rsidR="009E35AB">
        <w:rPr>
          <w:rFonts w:ascii="Times New Roman" w:hAnsi="Times New Roman"/>
          <w:b w:val="0"/>
          <w:color w:val="000000"/>
        </w:rPr>
        <w:t>contained</w:t>
      </w:r>
      <w:r>
        <w:rPr>
          <w:rFonts w:ascii="Times New Roman" w:hAnsi="Times New Roman"/>
          <w:b w:val="0"/>
          <w:color w:val="000000"/>
        </w:rPr>
        <w:t xml:space="preserve"> in the metabolite patterns of pre-dose biofluids.  Thus, we hypothesised the </w:t>
      </w:r>
      <w:r w:rsidR="003A1480">
        <w:rPr>
          <w:rFonts w:ascii="Times New Roman" w:hAnsi="Times New Roman"/>
          <w:b w:val="0"/>
          <w:color w:val="000000"/>
        </w:rPr>
        <w:t>possibility</w:t>
      </w:r>
      <w:r>
        <w:rPr>
          <w:rFonts w:ascii="Times New Roman" w:hAnsi="Times New Roman"/>
          <w:b w:val="0"/>
          <w:color w:val="000000"/>
        </w:rPr>
        <w:t xml:space="preserve"> of ‘pharmaco-metabonomics’, which we define as ‘the prediction of the outcome of a </w:t>
      </w:r>
      <w:r w:rsidR="000740AA">
        <w:rPr>
          <w:rFonts w:ascii="Times New Roman" w:hAnsi="Times New Roman"/>
          <w:b w:val="0"/>
          <w:color w:val="000000"/>
        </w:rPr>
        <w:t xml:space="preserve">drug or </w:t>
      </w:r>
      <w:r>
        <w:rPr>
          <w:rFonts w:ascii="Times New Roman" w:hAnsi="Times New Roman"/>
          <w:b w:val="0"/>
          <w:color w:val="000000"/>
        </w:rPr>
        <w:t xml:space="preserve">xenobiotic intervention in an individual based on a mathematical model of pre-intervention metabolite signatures’.  </w:t>
      </w:r>
      <w:r w:rsidR="00BE3363">
        <w:rPr>
          <w:rFonts w:ascii="Times New Roman" w:hAnsi="Times New Roman"/>
          <w:b w:val="0"/>
          <w:color w:val="000000"/>
        </w:rPr>
        <w:t xml:space="preserve">In a </w:t>
      </w:r>
      <w:r>
        <w:rPr>
          <w:rFonts w:ascii="Times New Roman" w:hAnsi="Times New Roman"/>
          <w:b w:val="0"/>
          <w:color w:val="000000"/>
        </w:rPr>
        <w:t xml:space="preserve">larger study on the </w:t>
      </w:r>
      <w:r w:rsidR="00B16341">
        <w:rPr>
          <w:rFonts w:ascii="Times New Roman" w:hAnsi="Times New Roman"/>
          <w:b w:val="0"/>
          <w:color w:val="000000"/>
        </w:rPr>
        <w:t>severity</w:t>
      </w:r>
      <w:r>
        <w:rPr>
          <w:rFonts w:ascii="Times New Roman" w:hAnsi="Times New Roman"/>
          <w:b w:val="0"/>
          <w:color w:val="000000"/>
        </w:rPr>
        <w:t xml:space="preserve"> of liver damage induced in rats by allyl alcohol (50 mg/kg), we found a weak but statistically significant association between the extent of the induced damage and the pre-dose urinary data (Fig. 1b)</w:t>
      </w:r>
      <w:proofErr w:type="gramStart"/>
      <w:r>
        <w:rPr>
          <w:rFonts w:ascii="Times New Roman" w:hAnsi="Times New Roman"/>
          <w:b w:val="0"/>
          <w:color w:val="000000"/>
        </w:rPr>
        <w:t>,</w:t>
      </w:r>
      <w:proofErr w:type="gramEnd"/>
      <w:r>
        <w:rPr>
          <w:rFonts w:ascii="Times New Roman" w:hAnsi="Times New Roman"/>
          <w:b w:val="0"/>
          <w:color w:val="000000"/>
        </w:rPr>
        <w:t xml:space="preserve"> although in this case the discriminating factor was total pre-dose excretion rather than the metabolite pattern.  However, </w:t>
      </w:r>
      <w:r w:rsidR="00E73A08">
        <w:rPr>
          <w:rFonts w:ascii="Times New Roman" w:hAnsi="Times New Roman"/>
          <w:b w:val="0"/>
          <w:color w:val="000000"/>
        </w:rPr>
        <w:t xml:space="preserve">knowing </w:t>
      </w:r>
      <w:r>
        <w:rPr>
          <w:rFonts w:ascii="Times New Roman" w:hAnsi="Times New Roman"/>
          <w:b w:val="0"/>
          <w:color w:val="000000"/>
        </w:rPr>
        <w:t>that the multivariate endogenous metabolite profiles of biofluids reflect inter-subject variation with respect to a multitude of factors such as age, sex, diet, ethnicity and disease</w:t>
      </w:r>
      <w:r>
        <w:rPr>
          <w:rFonts w:ascii="Times New Roman" w:hAnsi="Times New Roman"/>
          <w:b w:val="0"/>
          <w:color w:val="000000"/>
          <w:vertAlign w:val="superscript"/>
        </w:rPr>
        <w:t>13-17</w:t>
      </w:r>
      <w:r w:rsidR="001F3434">
        <w:rPr>
          <w:rFonts w:ascii="Times New Roman" w:hAnsi="Times New Roman"/>
          <w:b w:val="0"/>
          <w:color w:val="000000"/>
        </w:rPr>
        <w:t xml:space="preserve"> </w:t>
      </w:r>
      <w:r>
        <w:rPr>
          <w:rFonts w:ascii="Times New Roman" w:hAnsi="Times New Roman"/>
          <w:b w:val="0"/>
          <w:color w:val="000000"/>
        </w:rPr>
        <w:t xml:space="preserve">and recognising that many of the factors that influence the metabolism of </w:t>
      </w:r>
      <w:r w:rsidR="001F3434">
        <w:rPr>
          <w:rFonts w:ascii="Times New Roman" w:hAnsi="Times New Roman"/>
          <w:b w:val="0"/>
          <w:color w:val="000000"/>
        </w:rPr>
        <w:t>drugs</w:t>
      </w:r>
      <w:r>
        <w:rPr>
          <w:rFonts w:ascii="Times New Roman" w:hAnsi="Times New Roman"/>
          <w:b w:val="0"/>
          <w:color w:val="000000"/>
        </w:rPr>
        <w:t xml:space="preserve"> would normally operate on endogenous and dietary substances, we decided to test the hypothesis (Fig. 1c) that the pre-dose metabolite profile of an individual animal contains sufficient information to allow the prediction of </w:t>
      </w:r>
      <w:r w:rsidR="00AD22BB">
        <w:rPr>
          <w:rFonts w:ascii="Times New Roman" w:hAnsi="Times New Roman"/>
          <w:b w:val="0"/>
          <w:color w:val="000000"/>
        </w:rPr>
        <w:t xml:space="preserve">aspects of </w:t>
      </w:r>
      <w:r>
        <w:rPr>
          <w:rFonts w:ascii="Times New Roman" w:hAnsi="Times New Roman"/>
          <w:b w:val="0"/>
          <w:color w:val="000000"/>
        </w:rPr>
        <w:t>drug metabolism and toxicity in that individual without any prior knowledge of the individual’s genomic profile.  Paracetamol was chosen for this investigation.</w:t>
      </w:r>
    </w:p>
    <w:p w:rsidR="00D5258A" w:rsidRDefault="00D5258A">
      <w:pPr>
        <w:pStyle w:val="BodyText2"/>
        <w:spacing w:line="480" w:lineRule="auto"/>
        <w:jc w:val="both"/>
        <w:rPr>
          <w:rFonts w:ascii="Times New Roman" w:hAnsi="Times New Roman"/>
          <w:b w:val="0"/>
          <w:color w:val="000000"/>
        </w:rPr>
      </w:pPr>
    </w:p>
    <w:p w:rsidR="00D5258A" w:rsidRDefault="00D5258A">
      <w:pPr>
        <w:pStyle w:val="BodyText2"/>
        <w:spacing w:line="480" w:lineRule="auto"/>
        <w:jc w:val="both"/>
        <w:rPr>
          <w:rFonts w:ascii="Times New Roman" w:hAnsi="Times New Roman"/>
          <w:b w:val="0"/>
          <w:color w:val="000000"/>
        </w:rPr>
      </w:pPr>
      <w:r>
        <w:rPr>
          <w:rFonts w:ascii="Times New Roman" w:hAnsi="Times New Roman"/>
          <w:b w:val="0"/>
          <w:color w:val="000000"/>
        </w:rPr>
        <w:lastRenderedPageBreak/>
        <w:t xml:space="preserve">In an extensive study, we collected pre- and post-dose urine samples from </w:t>
      </w:r>
      <w:r w:rsidR="001132C3">
        <w:rPr>
          <w:rFonts w:ascii="Times New Roman" w:hAnsi="Times New Roman"/>
          <w:b w:val="0"/>
          <w:color w:val="000000"/>
        </w:rPr>
        <w:t>sixty five</w:t>
      </w:r>
      <w:r>
        <w:rPr>
          <w:rFonts w:ascii="Times New Roman" w:hAnsi="Times New Roman"/>
          <w:b w:val="0"/>
          <w:color w:val="000000"/>
        </w:rPr>
        <w:t xml:space="preserve"> rats given a single toxic-threshold dose of paracetamol (600 mg/kg), a treatment that produced no mortality or clinical signs, and we analysed all of these samples by </w:t>
      </w:r>
      <w:r>
        <w:rPr>
          <w:rFonts w:ascii="Times New Roman" w:hAnsi="Times New Roman"/>
          <w:b w:val="0"/>
          <w:color w:val="000000"/>
          <w:szCs w:val="28"/>
          <w:vertAlign w:val="superscript"/>
        </w:rPr>
        <w:t>1</w:t>
      </w:r>
      <w:r>
        <w:rPr>
          <w:rFonts w:ascii="Times New Roman" w:hAnsi="Times New Roman"/>
          <w:b w:val="0"/>
          <w:color w:val="000000"/>
        </w:rPr>
        <w:t>H NMR spectroscopy</w:t>
      </w:r>
      <w:r w:rsidR="00CB4A8C">
        <w:rPr>
          <w:rFonts w:ascii="Times New Roman" w:hAnsi="Times New Roman"/>
          <w:b w:val="0"/>
          <w:color w:val="000000"/>
        </w:rPr>
        <w:t xml:space="preserve"> (</w:t>
      </w:r>
      <w:r>
        <w:rPr>
          <w:rFonts w:ascii="Times New Roman" w:hAnsi="Times New Roman"/>
          <w:b w:val="0"/>
          <w:color w:val="000000"/>
        </w:rPr>
        <w:t>Fig 2</w:t>
      </w:r>
      <w:r w:rsidR="00CB4A8C">
        <w:rPr>
          <w:rFonts w:ascii="Times New Roman" w:hAnsi="Times New Roman"/>
          <w:b w:val="0"/>
          <w:color w:val="000000"/>
        </w:rPr>
        <w:t>)</w:t>
      </w:r>
      <w:r>
        <w:rPr>
          <w:rFonts w:ascii="Times New Roman" w:hAnsi="Times New Roman"/>
          <w:b w:val="0"/>
          <w:color w:val="000000"/>
        </w:rPr>
        <w:t>. The post-dose spectra showed the characteristic signals of both endogenous and paracetamol-related metabolites, with the major paracetamol-related metabolites being identified as paracetamol sulfate (</w:t>
      </w:r>
      <w:r>
        <w:rPr>
          <w:rFonts w:ascii="Times New Roman" w:hAnsi="Times New Roman"/>
          <w:color w:val="000000"/>
        </w:rPr>
        <w:t>S</w:t>
      </w:r>
      <w:r>
        <w:rPr>
          <w:rFonts w:ascii="Times New Roman" w:hAnsi="Times New Roman"/>
          <w:b w:val="0"/>
          <w:color w:val="000000"/>
        </w:rPr>
        <w:t>), paracetamol glucuronide (</w:t>
      </w:r>
      <w:r>
        <w:rPr>
          <w:rFonts w:ascii="Times New Roman" w:hAnsi="Times New Roman"/>
          <w:color w:val="000000"/>
        </w:rPr>
        <w:t>G</w:t>
      </w:r>
      <w:r>
        <w:rPr>
          <w:rFonts w:ascii="Times New Roman" w:hAnsi="Times New Roman"/>
          <w:b w:val="0"/>
          <w:color w:val="000000"/>
        </w:rPr>
        <w:t>), the mercapturic acid (</w:t>
      </w:r>
      <w:r>
        <w:rPr>
          <w:rFonts w:ascii="Times New Roman" w:hAnsi="Times New Roman"/>
          <w:color w:val="000000"/>
        </w:rPr>
        <w:t>MA</w:t>
      </w:r>
      <w:r>
        <w:rPr>
          <w:rFonts w:ascii="Times New Roman" w:hAnsi="Times New Roman"/>
          <w:b w:val="0"/>
          <w:color w:val="000000"/>
        </w:rPr>
        <w:t>) derived from paracetamol and paracetamol (</w:t>
      </w:r>
      <w:r>
        <w:rPr>
          <w:rFonts w:ascii="Times New Roman" w:hAnsi="Times New Roman"/>
          <w:color w:val="000000"/>
        </w:rPr>
        <w:t>P</w:t>
      </w:r>
      <w:r>
        <w:rPr>
          <w:rFonts w:ascii="Times New Roman" w:hAnsi="Times New Roman"/>
          <w:b w:val="0"/>
          <w:color w:val="000000"/>
        </w:rPr>
        <w:t xml:space="preserve">) itself.  Using these spectra in conjunction with the known urinary volumes, </w:t>
      </w:r>
      <w:r w:rsidR="00CB4A8C">
        <w:rPr>
          <w:rFonts w:ascii="Times New Roman" w:hAnsi="Times New Roman"/>
          <w:b w:val="0"/>
          <w:color w:val="000000"/>
        </w:rPr>
        <w:t>we determined</w:t>
      </w:r>
      <w:r w:rsidR="00753CDB">
        <w:rPr>
          <w:rFonts w:ascii="Times New Roman" w:hAnsi="Times New Roman"/>
          <w:b w:val="0"/>
          <w:color w:val="000000"/>
        </w:rPr>
        <w:t xml:space="preserve"> the </w:t>
      </w:r>
      <w:r>
        <w:rPr>
          <w:rFonts w:ascii="Times New Roman" w:hAnsi="Times New Roman"/>
          <w:b w:val="0"/>
          <w:color w:val="000000"/>
        </w:rPr>
        <w:t xml:space="preserve">amounts and relative proportions of paracetamol-related metabolites </w:t>
      </w:r>
      <w:r w:rsidR="00753CDB">
        <w:rPr>
          <w:rFonts w:ascii="Times New Roman" w:hAnsi="Times New Roman"/>
          <w:b w:val="0"/>
          <w:color w:val="000000"/>
        </w:rPr>
        <w:t xml:space="preserve">excreted by each animal </w:t>
      </w:r>
      <w:r>
        <w:rPr>
          <w:rFonts w:ascii="Times New Roman" w:hAnsi="Times New Roman"/>
          <w:b w:val="0"/>
          <w:color w:val="000000"/>
        </w:rPr>
        <w:t xml:space="preserve">and variation in these data was modelled in relation to the multivariate endogenous metabolite profiles obtained from the pre-dose samples.  Liver damage of variable severity was identified and quantified by clinical chemistry and by histopathology in samples taken at </w:t>
      </w:r>
      <w:r>
        <w:rPr>
          <w:rFonts w:ascii="Times New Roman" w:hAnsi="Times New Roman"/>
          <w:b w:val="0"/>
          <w:i/>
          <w:color w:val="000000"/>
        </w:rPr>
        <w:t>ca</w:t>
      </w:r>
      <w:r>
        <w:rPr>
          <w:rFonts w:ascii="Times New Roman" w:hAnsi="Times New Roman"/>
          <w:b w:val="0"/>
          <w:color w:val="000000"/>
        </w:rPr>
        <w:t>. 24 h post-dose, with the extent of the microscopically-visible damage being scored in each of five liver lobes and a mean histology score (MHS) derived for each rat</w:t>
      </w:r>
      <w:r w:rsidR="009872D4">
        <w:rPr>
          <w:rFonts w:ascii="Times New Roman" w:hAnsi="Times New Roman"/>
          <w:b w:val="0"/>
          <w:color w:val="000000"/>
        </w:rPr>
        <w:t xml:space="preserve"> (see supplementary tables and figure)</w:t>
      </w:r>
      <w:r>
        <w:rPr>
          <w:rFonts w:ascii="Times New Roman" w:hAnsi="Times New Roman"/>
          <w:b w:val="0"/>
          <w:color w:val="000000"/>
        </w:rPr>
        <w:t xml:space="preserve">.  The inter-animal variation in </w:t>
      </w:r>
      <w:r w:rsidR="00753CDB">
        <w:rPr>
          <w:rFonts w:ascii="Times New Roman" w:hAnsi="Times New Roman"/>
          <w:b w:val="0"/>
          <w:color w:val="000000"/>
        </w:rPr>
        <w:t>MHS</w:t>
      </w:r>
      <w:r>
        <w:rPr>
          <w:rFonts w:ascii="Times New Roman" w:hAnsi="Times New Roman"/>
          <w:b w:val="0"/>
          <w:color w:val="000000"/>
        </w:rPr>
        <w:t xml:space="preserve"> was also modelled in relation to the multivariate endogenous metabolite profiles obtained from the pre-dose samples, in an attempt to integrate classical end-point histopathology with a pre-dose metabonomic data set. The </w:t>
      </w:r>
      <w:r w:rsidR="00753CDB">
        <w:rPr>
          <w:rFonts w:ascii="Times New Roman" w:hAnsi="Times New Roman"/>
          <w:b w:val="0"/>
          <w:color w:val="000000"/>
        </w:rPr>
        <w:t xml:space="preserve">predictive </w:t>
      </w:r>
      <w:r>
        <w:rPr>
          <w:rFonts w:ascii="Times New Roman" w:hAnsi="Times New Roman"/>
          <w:b w:val="0"/>
          <w:color w:val="000000"/>
        </w:rPr>
        <w:t xml:space="preserve">ability of the </w:t>
      </w:r>
      <w:r w:rsidR="00753CDB">
        <w:rPr>
          <w:rFonts w:ascii="Times New Roman" w:hAnsi="Times New Roman"/>
          <w:b w:val="0"/>
          <w:color w:val="000000"/>
        </w:rPr>
        <w:t xml:space="preserve">various </w:t>
      </w:r>
      <w:r>
        <w:rPr>
          <w:rFonts w:ascii="Times New Roman" w:hAnsi="Times New Roman"/>
          <w:b w:val="0"/>
          <w:color w:val="000000"/>
        </w:rPr>
        <w:t xml:space="preserve">models was then tested. </w:t>
      </w:r>
    </w:p>
    <w:p w:rsidR="00D5258A" w:rsidRDefault="00D5258A">
      <w:pPr>
        <w:pStyle w:val="BodyText2"/>
        <w:spacing w:line="480" w:lineRule="auto"/>
        <w:jc w:val="both"/>
        <w:rPr>
          <w:rFonts w:ascii="Times New Roman" w:hAnsi="Times New Roman"/>
          <w:b w:val="0"/>
          <w:color w:val="000000"/>
          <w:szCs w:val="28"/>
        </w:rPr>
      </w:pPr>
    </w:p>
    <w:p w:rsidR="00D5258A" w:rsidRDefault="00D96678">
      <w:pPr>
        <w:pStyle w:val="BodyText2"/>
        <w:spacing w:line="480" w:lineRule="auto"/>
        <w:jc w:val="both"/>
        <w:rPr>
          <w:rFonts w:ascii="Times New Roman" w:hAnsi="Times New Roman"/>
          <w:b w:val="0"/>
          <w:color w:val="000000"/>
        </w:rPr>
      </w:pPr>
      <w:r>
        <w:rPr>
          <w:rFonts w:ascii="Times New Roman" w:hAnsi="Times New Roman"/>
          <w:b w:val="0"/>
          <w:color w:val="000000"/>
          <w:szCs w:val="28"/>
        </w:rPr>
        <w:t>T</w:t>
      </w:r>
      <w:r w:rsidR="00D5258A">
        <w:rPr>
          <w:rFonts w:ascii="Times New Roman" w:hAnsi="Times New Roman"/>
          <w:b w:val="0"/>
          <w:color w:val="000000"/>
          <w:szCs w:val="28"/>
        </w:rPr>
        <w:t xml:space="preserve">he </w:t>
      </w:r>
      <w:r w:rsidR="00D5258A">
        <w:rPr>
          <w:rFonts w:ascii="Times New Roman" w:hAnsi="Times New Roman"/>
          <w:color w:val="000000"/>
          <w:szCs w:val="28"/>
        </w:rPr>
        <w:t>G/P</w:t>
      </w:r>
      <w:r w:rsidR="00D5258A">
        <w:rPr>
          <w:rFonts w:ascii="Times New Roman" w:hAnsi="Times New Roman"/>
          <w:b w:val="0"/>
          <w:color w:val="000000"/>
          <w:szCs w:val="28"/>
        </w:rPr>
        <w:t xml:space="preserve"> mole ratio (G/P) was found to be the most convincingly predicted </w:t>
      </w:r>
      <w:r>
        <w:rPr>
          <w:rFonts w:ascii="Times New Roman" w:hAnsi="Times New Roman"/>
          <w:b w:val="0"/>
          <w:color w:val="000000"/>
          <w:szCs w:val="28"/>
        </w:rPr>
        <w:t>of the various post-dose metabolite quantities</w:t>
      </w:r>
      <w:r w:rsidR="00D5258A">
        <w:rPr>
          <w:rFonts w:ascii="Times New Roman" w:hAnsi="Times New Roman"/>
          <w:b w:val="0"/>
          <w:color w:val="000000"/>
          <w:szCs w:val="28"/>
        </w:rPr>
        <w:t xml:space="preserve">.  Thus, a PLS model </w:t>
      </w:r>
      <w:r>
        <w:rPr>
          <w:rFonts w:ascii="Times New Roman" w:hAnsi="Times New Roman"/>
          <w:b w:val="0"/>
          <w:color w:val="000000"/>
          <w:szCs w:val="28"/>
        </w:rPr>
        <w:t xml:space="preserve">(see methods) </w:t>
      </w:r>
      <w:r w:rsidR="00D5258A">
        <w:rPr>
          <w:rFonts w:ascii="Times New Roman" w:hAnsi="Times New Roman"/>
          <w:b w:val="0"/>
          <w:color w:val="000000"/>
          <w:szCs w:val="28"/>
        </w:rPr>
        <w:t xml:space="preserve">was built and validated for predicting, from the pre-dose metabolite profiles, the G/P values </w:t>
      </w:r>
      <w:r w:rsidR="00D5258A">
        <w:rPr>
          <w:rFonts w:ascii="Times New Roman" w:hAnsi="Times New Roman"/>
          <w:b w:val="0"/>
          <w:color w:val="000000"/>
          <w:szCs w:val="28"/>
        </w:rPr>
        <w:lastRenderedPageBreak/>
        <w:t xml:space="preserve">obtained post-dose for individual animals (Fig. 3).  The most important factors underlying </w:t>
      </w:r>
      <w:r w:rsidR="00D5258A">
        <w:rPr>
          <w:rFonts w:ascii="Times New Roman" w:hAnsi="Times New Roman"/>
          <w:b w:val="0"/>
          <w:color w:val="000000"/>
        </w:rPr>
        <w:t xml:space="preserve">this model </w:t>
      </w:r>
      <w:r>
        <w:rPr>
          <w:rFonts w:ascii="Times New Roman" w:hAnsi="Times New Roman"/>
          <w:b w:val="0"/>
          <w:color w:val="000000"/>
        </w:rPr>
        <w:t>were</w:t>
      </w:r>
      <w:r w:rsidR="00D5258A">
        <w:rPr>
          <w:rFonts w:ascii="Times New Roman" w:hAnsi="Times New Roman"/>
          <w:b w:val="0"/>
          <w:color w:val="000000"/>
        </w:rPr>
        <w:t xml:space="preserve"> a positive correlation (r = 0.48) between </w:t>
      </w:r>
      <w:r w:rsidR="00D5258A">
        <w:rPr>
          <w:rFonts w:ascii="Times New Roman" w:hAnsi="Times New Roman"/>
          <w:b w:val="0"/>
          <w:color w:val="000000"/>
          <w:szCs w:val="28"/>
        </w:rPr>
        <w:t>G/P</w:t>
      </w:r>
      <w:r w:rsidR="00D5258A">
        <w:rPr>
          <w:rFonts w:ascii="Times New Roman" w:hAnsi="Times New Roman"/>
          <w:b w:val="0"/>
          <w:color w:val="000000"/>
        </w:rPr>
        <w:t xml:space="preserve"> and the integral of the δ 5.06-5.14 region of the pre-dose NMR spectra and negative </w:t>
      </w:r>
      <w:proofErr w:type="gramStart"/>
      <w:r w:rsidR="00D5258A">
        <w:rPr>
          <w:rFonts w:ascii="Times New Roman" w:hAnsi="Times New Roman"/>
          <w:b w:val="0"/>
          <w:color w:val="000000"/>
        </w:rPr>
        <w:t>correlations  (</w:t>
      </w:r>
      <w:proofErr w:type="gramEnd"/>
      <w:r w:rsidR="00D5258A">
        <w:rPr>
          <w:rFonts w:ascii="Times New Roman" w:hAnsi="Times New Roman"/>
          <w:b w:val="0"/>
          <w:color w:val="000000"/>
        </w:rPr>
        <w:t xml:space="preserve">r   =  -0.56 and -0.54 respectively) between </w:t>
      </w:r>
      <w:r w:rsidR="00D5258A">
        <w:rPr>
          <w:rFonts w:ascii="Times New Roman" w:hAnsi="Times New Roman"/>
          <w:b w:val="0"/>
          <w:color w:val="000000"/>
          <w:szCs w:val="28"/>
        </w:rPr>
        <w:t>G/P</w:t>
      </w:r>
      <w:r w:rsidR="00D5258A">
        <w:rPr>
          <w:rFonts w:ascii="Times New Roman" w:hAnsi="Times New Roman"/>
          <w:b w:val="0"/>
          <w:color w:val="000000"/>
        </w:rPr>
        <w:t xml:space="preserve"> and the integrals of the δ 8.98-9.10 and δ 0.50-0.86 regions of the pre-dose spectra</w:t>
      </w:r>
      <w:r w:rsidR="0087254E">
        <w:rPr>
          <w:rFonts w:ascii="Times New Roman" w:hAnsi="Times New Roman"/>
          <w:b w:val="0"/>
          <w:color w:val="000000"/>
        </w:rPr>
        <w:t xml:space="preserve"> (Fig. 3</w:t>
      </w:r>
      <w:r w:rsidR="0087254E" w:rsidRPr="0087254E">
        <w:rPr>
          <w:rFonts w:ascii="Times New Roman" w:hAnsi="Times New Roman"/>
          <w:b w:val="0"/>
          <w:i/>
          <w:color w:val="000000"/>
        </w:rPr>
        <w:t>b</w:t>
      </w:r>
      <w:r w:rsidR="0087254E">
        <w:rPr>
          <w:rFonts w:ascii="Times New Roman" w:hAnsi="Times New Roman"/>
          <w:b w:val="0"/>
          <w:color w:val="000000"/>
        </w:rPr>
        <w:t>)</w:t>
      </w:r>
      <w:r w:rsidR="00D5258A">
        <w:rPr>
          <w:rFonts w:ascii="Times New Roman" w:hAnsi="Times New Roman"/>
          <w:b w:val="0"/>
          <w:i/>
          <w:color w:val="000000"/>
          <w:szCs w:val="28"/>
        </w:rPr>
        <w:t xml:space="preserve">.  </w:t>
      </w:r>
      <w:r w:rsidR="00D5258A">
        <w:rPr>
          <w:rFonts w:ascii="Times New Roman" w:hAnsi="Times New Roman"/>
          <w:b w:val="0"/>
          <w:color w:val="000000"/>
        </w:rPr>
        <w:t>The integrals for the latter two regions were found to be correlated to one another (r = 0.90) but showed no clear relationship</w:t>
      </w:r>
      <w:r w:rsidR="00C416CC">
        <w:rPr>
          <w:rFonts w:ascii="Times New Roman" w:hAnsi="Times New Roman"/>
          <w:b w:val="0"/>
          <w:color w:val="000000"/>
        </w:rPr>
        <w:t xml:space="preserve"> </w:t>
      </w:r>
      <w:r w:rsidR="00D5258A">
        <w:rPr>
          <w:rFonts w:ascii="Times New Roman" w:hAnsi="Times New Roman"/>
          <w:b w:val="0"/>
          <w:color w:val="000000"/>
        </w:rPr>
        <w:t>to the integral for the δ 5.06-5.14 region.  Inspection of the pre-dose spectra revealed some small but distinct signals in the δ 5.06-5.14 region, with the δ 8.98-9.10 region and much of the δ 0.50-0.86 region being relatively featureless but positive relative to the zero line.  The validation performed (Fig. 3</w:t>
      </w:r>
      <w:r w:rsidR="00D5258A">
        <w:rPr>
          <w:rFonts w:ascii="Times New Roman" w:hAnsi="Times New Roman"/>
          <w:b w:val="0"/>
          <w:i/>
          <w:color w:val="000000"/>
        </w:rPr>
        <w:t>c</w:t>
      </w:r>
      <w:r w:rsidR="00D5258A">
        <w:rPr>
          <w:rFonts w:ascii="Times New Roman" w:hAnsi="Times New Roman"/>
          <w:b w:val="0"/>
          <w:color w:val="000000"/>
        </w:rPr>
        <w:t xml:space="preserve"> and 3</w:t>
      </w:r>
      <w:r w:rsidR="00D5258A">
        <w:rPr>
          <w:rFonts w:ascii="Times New Roman" w:hAnsi="Times New Roman"/>
          <w:b w:val="0"/>
          <w:i/>
          <w:color w:val="000000"/>
        </w:rPr>
        <w:t>d</w:t>
      </w:r>
      <w:r w:rsidR="00D5258A">
        <w:rPr>
          <w:rFonts w:ascii="Times New Roman" w:hAnsi="Times New Roman"/>
          <w:b w:val="0"/>
          <w:color w:val="000000"/>
        </w:rPr>
        <w:t xml:space="preserve">) confirms that the predictive model for G/P is robust and the positive correlation between G/P and the δ 5.06-5.14 region of the pre-dose spectra is consistent with metabolic control.  The glucuronide part of </w:t>
      </w:r>
      <w:r w:rsidR="00D5258A">
        <w:rPr>
          <w:rFonts w:ascii="Times New Roman" w:hAnsi="Times New Roman"/>
          <w:color w:val="000000"/>
          <w:szCs w:val="28"/>
        </w:rPr>
        <w:t>G</w:t>
      </w:r>
      <w:r w:rsidR="00D5258A">
        <w:rPr>
          <w:rFonts w:ascii="Times New Roman" w:hAnsi="Times New Roman"/>
          <w:b w:val="0"/>
          <w:color w:val="000000"/>
        </w:rPr>
        <w:t xml:space="preserve"> produces a doublet in this region post-dose and the signals in the δ 5.06-5.14 region of the pre-dose spectra may arise, correspondingly, from endogenous ether glucuronides. It is logical that G/P would be positively correlated to the pre-existing tendency of each individual rat to form </w:t>
      </w:r>
      <w:r w:rsidR="0087254E">
        <w:rPr>
          <w:rFonts w:ascii="Times New Roman" w:hAnsi="Times New Roman"/>
          <w:b w:val="0"/>
          <w:color w:val="000000"/>
        </w:rPr>
        <w:t xml:space="preserve">and excrete </w:t>
      </w:r>
      <w:r w:rsidR="00D5258A">
        <w:rPr>
          <w:rFonts w:ascii="Times New Roman" w:hAnsi="Times New Roman"/>
          <w:b w:val="0"/>
          <w:color w:val="000000"/>
        </w:rPr>
        <w:t xml:space="preserve">such ether glucuronides and the integral for the δ 5.06-5.14 region could be a good reflection of that tendency, being relatively free of other signals.  The significance of the negative correlations between G/P and the </w:t>
      </w:r>
      <w:r w:rsidR="004D290E">
        <w:rPr>
          <w:rFonts w:ascii="Times New Roman" w:hAnsi="Times New Roman"/>
          <w:b w:val="0"/>
          <w:color w:val="000000"/>
        </w:rPr>
        <w:t xml:space="preserve">specified </w:t>
      </w:r>
      <w:r w:rsidR="00D5258A">
        <w:rPr>
          <w:rFonts w:ascii="Times New Roman" w:hAnsi="Times New Roman"/>
          <w:b w:val="0"/>
          <w:color w:val="000000"/>
        </w:rPr>
        <w:t>regions of the pre-dose spectra is not understood but might reflect some dependency on urinary protein.</w:t>
      </w:r>
    </w:p>
    <w:p w:rsidR="00D5258A" w:rsidRDefault="00D5258A">
      <w:pPr>
        <w:pStyle w:val="BodyText2"/>
        <w:spacing w:line="480" w:lineRule="auto"/>
        <w:jc w:val="both"/>
        <w:rPr>
          <w:rFonts w:ascii="Times New Roman" w:hAnsi="Times New Roman"/>
          <w:b w:val="0"/>
          <w:color w:val="000000"/>
        </w:rPr>
      </w:pPr>
    </w:p>
    <w:p w:rsidR="00D5258A" w:rsidRDefault="00D5258A">
      <w:pPr>
        <w:pStyle w:val="BodyText2"/>
        <w:spacing w:line="480" w:lineRule="auto"/>
        <w:jc w:val="both"/>
        <w:rPr>
          <w:rFonts w:ascii="Times New Roman" w:hAnsi="Times New Roman"/>
          <w:i/>
          <w:color w:val="000000"/>
        </w:rPr>
      </w:pPr>
      <w:r>
        <w:rPr>
          <w:rFonts w:ascii="Times New Roman" w:hAnsi="Times New Roman"/>
          <w:b w:val="0"/>
          <w:color w:val="000000"/>
        </w:rPr>
        <w:t xml:space="preserve">Whilst we did not obtain a fully validated model for </w:t>
      </w:r>
      <w:r w:rsidR="0087254E">
        <w:rPr>
          <w:rFonts w:ascii="Times New Roman" w:hAnsi="Times New Roman"/>
          <w:b w:val="0"/>
          <w:color w:val="000000"/>
        </w:rPr>
        <w:t xml:space="preserve">predicting </w:t>
      </w:r>
      <w:r>
        <w:rPr>
          <w:rFonts w:ascii="Times New Roman" w:hAnsi="Times New Roman"/>
          <w:b w:val="0"/>
          <w:color w:val="000000"/>
        </w:rPr>
        <w:t xml:space="preserve">post-dose histology, our analysis did demonstrate a statistically significant association between the nature of the </w:t>
      </w:r>
      <w:r>
        <w:rPr>
          <w:rFonts w:ascii="Times New Roman" w:hAnsi="Times New Roman"/>
          <w:b w:val="0"/>
          <w:color w:val="000000"/>
        </w:rPr>
        <w:lastRenderedPageBreak/>
        <w:t>pre-dose urinary biochemical profile and the post-dose histological outcome. Having assigned each animal to one of three histology classes, as described in Table 1,   PCA was carried out on the pre-dose spectral data (62 animals) with partial separation between histology classes 1 and 3 being found on PC2 (Fig. 4</w:t>
      </w:r>
      <w:r>
        <w:rPr>
          <w:rFonts w:ascii="Times New Roman" w:hAnsi="Times New Roman"/>
          <w:b w:val="0"/>
          <w:i/>
          <w:color w:val="000000"/>
          <w:szCs w:val="28"/>
        </w:rPr>
        <w:t>a</w:t>
      </w:r>
      <w:r>
        <w:rPr>
          <w:rFonts w:ascii="Times New Roman" w:hAnsi="Times New Roman"/>
          <w:b w:val="0"/>
          <w:color w:val="000000"/>
        </w:rPr>
        <w:t xml:space="preserve">).  </w:t>
      </w:r>
      <w:r w:rsidR="00FD1D3E">
        <w:rPr>
          <w:rFonts w:ascii="Times New Roman" w:hAnsi="Times New Roman"/>
          <w:b w:val="0"/>
          <w:color w:val="000000"/>
        </w:rPr>
        <w:t>Furthermore, a weak but statistically significant correlation (r = -0.34</w:t>
      </w:r>
      <w:r w:rsidR="00394A5F">
        <w:rPr>
          <w:rFonts w:ascii="Times New Roman" w:hAnsi="Times New Roman"/>
          <w:b w:val="0"/>
          <w:color w:val="000000"/>
        </w:rPr>
        <w:t>; P = 0.007</w:t>
      </w:r>
      <w:r w:rsidR="00FD1D3E">
        <w:rPr>
          <w:rFonts w:ascii="Times New Roman" w:hAnsi="Times New Roman"/>
          <w:b w:val="0"/>
          <w:color w:val="000000"/>
        </w:rPr>
        <w:t>) was found between the PC2 scores and MHS (Fig. 4</w:t>
      </w:r>
      <w:r w:rsidR="00FD1D3E" w:rsidRPr="00FD1D3E">
        <w:rPr>
          <w:rFonts w:ascii="Times New Roman" w:hAnsi="Times New Roman"/>
          <w:b w:val="0"/>
          <w:i/>
          <w:color w:val="000000"/>
        </w:rPr>
        <w:t>b</w:t>
      </w:r>
      <w:r w:rsidR="00FD1D3E">
        <w:rPr>
          <w:rFonts w:ascii="Times New Roman" w:hAnsi="Times New Roman"/>
          <w:b w:val="0"/>
          <w:color w:val="000000"/>
        </w:rPr>
        <w:t>)</w:t>
      </w:r>
      <w:r>
        <w:rPr>
          <w:rFonts w:ascii="Times New Roman" w:hAnsi="Times New Roman"/>
          <w:b w:val="0"/>
          <w:color w:val="000000"/>
        </w:rPr>
        <w:t>.  PCA was also carried out on the pre-dose data for classes 1 and 3 only (32 animals) with partial separation of those classes again being observed on PC2 (Fig. 4</w:t>
      </w:r>
      <w:r>
        <w:rPr>
          <w:rFonts w:ascii="Times New Roman" w:hAnsi="Times New Roman"/>
          <w:b w:val="0"/>
          <w:i/>
          <w:color w:val="000000"/>
          <w:szCs w:val="28"/>
        </w:rPr>
        <w:t>c</w:t>
      </w:r>
      <w:r>
        <w:rPr>
          <w:rFonts w:ascii="Times New Roman" w:hAnsi="Times New Roman"/>
          <w:b w:val="0"/>
          <w:color w:val="000000"/>
        </w:rPr>
        <w:t>)</w:t>
      </w:r>
      <w:r w:rsidR="00394A5F">
        <w:rPr>
          <w:rFonts w:ascii="Times New Roman" w:hAnsi="Times New Roman"/>
          <w:b w:val="0"/>
          <w:color w:val="000000"/>
        </w:rPr>
        <w:t xml:space="preserve"> and t</w:t>
      </w:r>
      <w:r w:rsidR="00FD1D3E">
        <w:rPr>
          <w:rFonts w:ascii="Times New Roman" w:hAnsi="Times New Roman"/>
          <w:b w:val="0"/>
          <w:color w:val="000000"/>
        </w:rPr>
        <w:t>he statistical significance of that separation</w:t>
      </w:r>
      <w:r w:rsidR="00394A5F">
        <w:rPr>
          <w:rFonts w:ascii="Times New Roman" w:hAnsi="Times New Roman"/>
          <w:b w:val="0"/>
          <w:color w:val="000000"/>
        </w:rPr>
        <w:t xml:space="preserve"> </w:t>
      </w:r>
      <w:r w:rsidR="00073212">
        <w:rPr>
          <w:rFonts w:ascii="Times New Roman" w:hAnsi="Times New Roman"/>
          <w:b w:val="0"/>
          <w:color w:val="000000"/>
        </w:rPr>
        <w:t xml:space="preserve">being </w:t>
      </w:r>
      <w:r w:rsidR="00FD1D3E">
        <w:rPr>
          <w:rFonts w:ascii="Times New Roman" w:hAnsi="Times New Roman"/>
          <w:b w:val="0"/>
          <w:color w:val="000000"/>
        </w:rPr>
        <w:t>confirmed by a Mann-Whitney test (P = 0.002)</w:t>
      </w:r>
      <w:r>
        <w:rPr>
          <w:rFonts w:ascii="Times New Roman" w:hAnsi="Times New Roman"/>
          <w:b w:val="0"/>
          <w:color w:val="000000"/>
        </w:rPr>
        <w:t xml:space="preserve">.  The </w:t>
      </w:r>
      <w:r w:rsidR="00871195">
        <w:rPr>
          <w:rFonts w:ascii="Times New Roman" w:hAnsi="Times New Roman"/>
          <w:b w:val="0"/>
          <w:color w:val="000000"/>
        </w:rPr>
        <w:t xml:space="preserve">principal </w:t>
      </w:r>
      <w:r>
        <w:rPr>
          <w:rFonts w:ascii="Times New Roman" w:hAnsi="Times New Roman"/>
          <w:b w:val="0"/>
          <w:color w:val="000000"/>
        </w:rPr>
        <w:t xml:space="preserve">pre-dose factors underlying this </w:t>
      </w:r>
      <w:r w:rsidR="00394A5F">
        <w:rPr>
          <w:rFonts w:ascii="Times New Roman" w:hAnsi="Times New Roman"/>
          <w:b w:val="0"/>
          <w:color w:val="000000"/>
        </w:rPr>
        <w:t xml:space="preserve">class </w:t>
      </w:r>
      <w:r>
        <w:rPr>
          <w:rFonts w:ascii="Times New Roman" w:hAnsi="Times New Roman"/>
          <w:b w:val="0"/>
          <w:color w:val="000000"/>
        </w:rPr>
        <w:t xml:space="preserve">discrimination are </w:t>
      </w:r>
      <w:r w:rsidR="00394A5F">
        <w:rPr>
          <w:rFonts w:ascii="Times New Roman" w:hAnsi="Times New Roman"/>
          <w:b w:val="0"/>
          <w:color w:val="000000"/>
        </w:rPr>
        <w:t>the levels of taurine, trimethyla</w:t>
      </w:r>
      <w:r w:rsidR="00FE62CE">
        <w:rPr>
          <w:rFonts w:ascii="Times New Roman" w:hAnsi="Times New Roman"/>
          <w:b w:val="0"/>
          <w:color w:val="000000"/>
        </w:rPr>
        <w:t xml:space="preserve">mine-N-oxide (TMAO) and betaine </w:t>
      </w:r>
      <w:r>
        <w:rPr>
          <w:rFonts w:ascii="Times New Roman" w:hAnsi="Times New Roman"/>
          <w:b w:val="0"/>
          <w:color w:val="000000"/>
        </w:rPr>
        <w:t>(Fig 4</w:t>
      </w:r>
      <w:r>
        <w:rPr>
          <w:rFonts w:ascii="Times New Roman" w:hAnsi="Times New Roman"/>
          <w:b w:val="0"/>
          <w:i/>
          <w:color w:val="000000"/>
          <w:szCs w:val="28"/>
        </w:rPr>
        <w:t>d</w:t>
      </w:r>
      <w:r w:rsidR="00394A5F" w:rsidRPr="00394A5F">
        <w:rPr>
          <w:rFonts w:ascii="Times New Roman" w:hAnsi="Times New Roman"/>
          <w:b w:val="0"/>
          <w:color w:val="000000"/>
          <w:szCs w:val="28"/>
        </w:rPr>
        <w:t>)</w:t>
      </w:r>
      <w:r>
        <w:rPr>
          <w:rFonts w:ascii="Times New Roman" w:hAnsi="Times New Roman"/>
          <w:b w:val="0"/>
          <w:color w:val="000000"/>
        </w:rPr>
        <w:t>.  A higher pre-dose level of taurine is associated more with class 1 than with class 3 whilst a higher combined pre-dose level of TMAO plus betaine is associated more with class 3 than with class 1.  The beneficial relationship found between pre-dose urinary taurine and the extent of paracetamol-induced liver damage is consistent with earlier findings for the degree of liver damage induced by a variety of other liver toxins and with the protective effect observed when taurine is administered to rats before or soon after an hepatotoxic dose of paracetamol</w:t>
      </w:r>
      <w:r>
        <w:rPr>
          <w:rFonts w:ascii="Times New Roman" w:hAnsi="Times New Roman"/>
          <w:b w:val="0"/>
          <w:color w:val="000000"/>
          <w:vertAlign w:val="superscript"/>
        </w:rPr>
        <w:t>18</w:t>
      </w:r>
      <w:proofErr w:type="gramStart"/>
      <w:r>
        <w:rPr>
          <w:rFonts w:ascii="Times New Roman" w:hAnsi="Times New Roman"/>
          <w:b w:val="0"/>
          <w:color w:val="000000"/>
          <w:vertAlign w:val="superscript"/>
        </w:rPr>
        <w:t>,19</w:t>
      </w:r>
      <w:proofErr w:type="gramEnd"/>
      <w:r>
        <w:rPr>
          <w:rFonts w:ascii="Times New Roman" w:hAnsi="Times New Roman"/>
          <w:b w:val="0"/>
          <w:color w:val="000000"/>
        </w:rPr>
        <w:t>.  The significance of the pre-dose level of taurine might lie in its known defensive properties but urinary taurine might also reflect the availability of inorganic sulfate, to which taurine is metabolically related and which is a precursor of the paracetamol sulfating agent phosphoadenosine phosphosulfate (PAPS</w:t>
      </w:r>
      <w:proofErr w:type="gramStart"/>
      <w:r>
        <w:rPr>
          <w:rFonts w:ascii="Times New Roman" w:hAnsi="Times New Roman"/>
          <w:b w:val="0"/>
          <w:color w:val="000000"/>
        </w:rPr>
        <w:t>)</w:t>
      </w:r>
      <w:r>
        <w:rPr>
          <w:rFonts w:ascii="Times New Roman" w:hAnsi="Times New Roman"/>
          <w:b w:val="0"/>
          <w:color w:val="000000"/>
          <w:vertAlign w:val="superscript"/>
        </w:rPr>
        <w:t>20</w:t>
      </w:r>
      <w:proofErr w:type="gramEnd"/>
      <w:r>
        <w:rPr>
          <w:rFonts w:ascii="Times New Roman" w:hAnsi="Times New Roman"/>
          <w:b w:val="0"/>
          <w:color w:val="000000"/>
          <w:vertAlign w:val="superscript"/>
        </w:rPr>
        <w:t>-22</w:t>
      </w:r>
      <w:r>
        <w:rPr>
          <w:rFonts w:ascii="Times New Roman" w:hAnsi="Times New Roman"/>
          <w:b w:val="0"/>
          <w:color w:val="000000"/>
        </w:rPr>
        <w:t xml:space="preserve">.  The latter interpretation is consistent with </w:t>
      </w:r>
      <w:r w:rsidR="00394A5F">
        <w:rPr>
          <w:rFonts w:ascii="Times New Roman" w:hAnsi="Times New Roman"/>
          <w:b w:val="0"/>
          <w:color w:val="000000"/>
        </w:rPr>
        <w:t xml:space="preserve">our </w:t>
      </w:r>
      <w:r>
        <w:rPr>
          <w:rFonts w:ascii="Times New Roman" w:hAnsi="Times New Roman"/>
          <w:b w:val="0"/>
          <w:color w:val="000000"/>
        </w:rPr>
        <w:t xml:space="preserve">observation that most of the animals with a high degree of liver necrosis (MHS &gt; 2.5) showed a low proportion of </w:t>
      </w:r>
      <w:r>
        <w:rPr>
          <w:rFonts w:ascii="Times New Roman" w:hAnsi="Times New Roman"/>
          <w:color w:val="000000"/>
        </w:rPr>
        <w:t>S</w:t>
      </w:r>
      <w:r>
        <w:rPr>
          <w:rFonts w:ascii="Times New Roman" w:hAnsi="Times New Roman"/>
          <w:b w:val="0"/>
          <w:color w:val="000000"/>
        </w:rPr>
        <w:t xml:space="preserve"> in their post-dose urine.</w:t>
      </w:r>
      <w:r w:rsidR="006B1D6F">
        <w:rPr>
          <w:rFonts w:ascii="Times New Roman" w:hAnsi="Times New Roman"/>
          <w:b w:val="0"/>
          <w:color w:val="000000"/>
        </w:rPr>
        <w:t xml:space="preserve">  </w:t>
      </w:r>
      <w:r>
        <w:rPr>
          <w:rFonts w:ascii="Times New Roman" w:hAnsi="Times New Roman"/>
          <w:b w:val="0"/>
          <w:color w:val="000000"/>
        </w:rPr>
        <w:t xml:space="preserve">In </w:t>
      </w:r>
      <w:r>
        <w:rPr>
          <w:rFonts w:ascii="Times New Roman" w:hAnsi="Times New Roman"/>
          <w:b w:val="0"/>
          <w:color w:val="000000"/>
        </w:rPr>
        <w:lastRenderedPageBreak/>
        <w:t>contrast, a higher pre-dose level of TMAO is associated with more paracetamol-induced liver damage, suggesting that the gut bacteria might have a role in determining the extent of that damage</w:t>
      </w:r>
      <w:r>
        <w:rPr>
          <w:rFonts w:ascii="Times New Roman" w:hAnsi="Times New Roman"/>
          <w:b w:val="0"/>
          <w:color w:val="000000"/>
          <w:szCs w:val="28"/>
          <w:vertAlign w:val="superscript"/>
        </w:rPr>
        <w:t>23,24</w:t>
      </w:r>
      <w:r w:rsidR="00640A9B">
        <w:rPr>
          <w:rFonts w:ascii="Times New Roman" w:hAnsi="Times New Roman"/>
          <w:b w:val="0"/>
          <w:color w:val="000000"/>
          <w:szCs w:val="28"/>
          <w:vertAlign w:val="superscript"/>
        </w:rPr>
        <w:t xml:space="preserve"> </w:t>
      </w:r>
      <w:r w:rsidR="00151D7E">
        <w:rPr>
          <w:rFonts w:ascii="Times New Roman" w:hAnsi="Times New Roman"/>
          <w:b w:val="0"/>
          <w:color w:val="000000"/>
        </w:rPr>
        <w:t>and</w:t>
      </w:r>
      <w:r w:rsidR="00640A9B">
        <w:rPr>
          <w:rFonts w:ascii="Times New Roman" w:hAnsi="Times New Roman"/>
          <w:b w:val="0"/>
          <w:color w:val="000000"/>
        </w:rPr>
        <w:t xml:space="preserve"> the </w:t>
      </w:r>
      <w:r w:rsidR="009F6C34">
        <w:rPr>
          <w:rFonts w:ascii="Times New Roman" w:hAnsi="Times New Roman"/>
          <w:b w:val="0"/>
          <w:color w:val="000000"/>
        </w:rPr>
        <w:t>contribution of the gut bacteria to</w:t>
      </w:r>
      <w:r w:rsidR="00640A9B">
        <w:rPr>
          <w:rFonts w:ascii="Times New Roman" w:hAnsi="Times New Roman"/>
          <w:b w:val="0"/>
          <w:color w:val="000000"/>
        </w:rPr>
        <w:t xml:space="preserve"> </w:t>
      </w:r>
      <w:r w:rsidR="009F6C34">
        <w:rPr>
          <w:rFonts w:ascii="Times New Roman" w:hAnsi="Times New Roman"/>
          <w:b w:val="0"/>
          <w:color w:val="000000"/>
        </w:rPr>
        <w:t xml:space="preserve">a </w:t>
      </w:r>
      <w:r w:rsidR="00640A9B">
        <w:rPr>
          <w:rFonts w:ascii="Times New Roman" w:hAnsi="Times New Roman"/>
          <w:b w:val="0"/>
          <w:color w:val="000000"/>
        </w:rPr>
        <w:t>Bayesian probabilistic (</w:t>
      </w:r>
      <w:r w:rsidR="009F6C34">
        <w:rPr>
          <w:rFonts w:ascii="Times New Roman" w:hAnsi="Times New Roman"/>
          <w:b w:val="0"/>
          <w:color w:val="000000"/>
        </w:rPr>
        <w:t>‘</w:t>
      </w:r>
      <w:r w:rsidR="00640A9B">
        <w:rPr>
          <w:rFonts w:ascii="Times New Roman" w:hAnsi="Times New Roman"/>
          <w:b w:val="0"/>
          <w:color w:val="000000"/>
        </w:rPr>
        <w:t>Pachinko</w:t>
      </w:r>
      <w:r w:rsidR="009F6C34">
        <w:rPr>
          <w:rFonts w:ascii="Times New Roman" w:hAnsi="Times New Roman"/>
          <w:b w:val="0"/>
          <w:color w:val="000000"/>
        </w:rPr>
        <w:t>’</w:t>
      </w:r>
      <w:r w:rsidR="00640A9B">
        <w:rPr>
          <w:rFonts w:ascii="Times New Roman" w:hAnsi="Times New Roman"/>
          <w:b w:val="0"/>
          <w:color w:val="000000"/>
        </w:rPr>
        <w:t xml:space="preserve">) </w:t>
      </w:r>
      <w:r w:rsidR="009F6C34">
        <w:rPr>
          <w:rFonts w:ascii="Times New Roman" w:hAnsi="Times New Roman"/>
          <w:b w:val="0"/>
          <w:color w:val="000000"/>
        </w:rPr>
        <w:t xml:space="preserve">model of </w:t>
      </w:r>
      <w:r w:rsidR="00640A9B">
        <w:rPr>
          <w:rFonts w:ascii="Times New Roman" w:hAnsi="Times New Roman"/>
          <w:b w:val="0"/>
          <w:color w:val="000000"/>
        </w:rPr>
        <w:t>metabolism ha</w:t>
      </w:r>
      <w:r w:rsidR="00151D7E">
        <w:rPr>
          <w:rFonts w:ascii="Times New Roman" w:hAnsi="Times New Roman"/>
          <w:b w:val="0"/>
          <w:color w:val="000000"/>
        </w:rPr>
        <w:t>s</w:t>
      </w:r>
      <w:r w:rsidR="00640A9B">
        <w:rPr>
          <w:rFonts w:ascii="Times New Roman" w:hAnsi="Times New Roman"/>
          <w:b w:val="0"/>
          <w:color w:val="000000"/>
        </w:rPr>
        <w:t xml:space="preserve"> already been </w:t>
      </w:r>
      <w:r w:rsidR="009F6C34">
        <w:rPr>
          <w:rFonts w:ascii="Times New Roman" w:hAnsi="Times New Roman"/>
          <w:b w:val="0"/>
          <w:color w:val="000000"/>
        </w:rPr>
        <w:t>postulated</w:t>
      </w:r>
      <w:r w:rsidR="009F6C34" w:rsidRPr="009F6C34">
        <w:rPr>
          <w:rFonts w:ascii="Times New Roman" w:hAnsi="Times New Roman"/>
          <w:b w:val="0"/>
          <w:color w:val="000000"/>
          <w:szCs w:val="28"/>
          <w:vertAlign w:val="superscript"/>
        </w:rPr>
        <w:t>11</w:t>
      </w:r>
      <w:r>
        <w:rPr>
          <w:rFonts w:ascii="Times New Roman" w:hAnsi="Times New Roman"/>
          <w:b w:val="0"/>
          <w:color w:val="000000"/>
        </w:rPr>
        <w:t>.  The occasional pre-dose presence of a significant quantity of betaine, which produces an NMR signal that overlaps that of TMAO, may be a confounding factor and certainly contributed to the abnormal position of one of the class 1 animals on the scores plot shown in Fig 4</w:t>
      </w:r>
      <w:r>
        <w:rPr>
          <w:rFonts w:ascii="Times New Roman" w:hAnsi="Times New Roman"/>
          <w:b w:val="0"/>
          <w:i/>
          <w:color w:val="000000"/>
          <w:szCs w:val="28"/>
        </w:rPr>
        <w:t>c</w:t>
      </w:r>
      <w:r>
        <w:rPr>
          <w:rFonts w:ascii="Times New Roman" w:hAnsi="Times New Roman"/>
          <w:b w:val="0"/>
          <w:color w:val="000000"/>
        </w:rPr>
        <w:t xml:space="preserve">.   </w:t>
      </w:r>
    </w:p>
    <w:p w:rsidR="00D5258A" w:rsidRDefault="00D5258A">
      <w:pPr>
        <w:pStyle w:val="BodyText2"/>
        <w:spacing w:line="480" w:lineRule="auto"/>
        <w:jc w:val="both"/>
        <w:rPr>
          <w:rFonts w:ascii="Times New Roman" w:hAnsi="Times New Roman"/>
          <w:b w:val="0"/>
          <w:color w:val="000000"/>
        </w:rPr>
      </w:pPr>
    </w:p>
    <w:p w:rsidR="00D5258A" w:rsidRDefault="00D5258A">
      <w:pPr>
        <w:spacing w:line="480" w:lineRule="auto"/>
        <w:jc w:val="both"/>
        <w:rPr>
          <w:rFonts w:ascii="Times New Roman" w:hAnsi="Times New Roman"/>
        </w:rPr>
      </w:pPr>
      <w:r>
        <w:rPr>
          <w:rFonts w:ascii="Times New Roman" w:hAnsi="Times New Roman"/>
        </w:rPr>
        <w:t xml:space="preserve">Whatever the basis of the observed </w:t>
      </w:r>
      <w:r w:rsidR="009872D4">
        <w:rPr>
          <w:rFonts w:ascii="Times New Roman" w:hAnsi="Times New Roman"/>
        </w:rPr>
        <w:t xml:space="preserve">pre-dose </w:t>
      </w:r>
      <w:r>
        <w:rPr>
          <w:rFonts w:ascii="Times New Roman" w:hAnsi="Times New Roman"/>
        </w:rPr>
        <w:t>discrimination, the</w:t>
      </w:r>
      <w:r w:rsidR="001F26B3">
        <w:rPr>
          <w:rFonts w:ascii="Times New Roman" w:hAnsi="Times New Roman"/>
        </w:rPr>
        <w:t xml:space="preserve"> </w:t>
      </w:r>
      <w:r w:rsidR="00923B8C">
        <w:rPr>
          <w:rFonts w:ascii="Times New Roman" w:hAnsi="Times New Roman"/>
        </w:rPr>
        <w:t>paracetamol study</w:t>
      </w:r>
      <w:r w:rsidR="001F26B3">
        <w:rPr>
          <w:rFonts w:ascii="Times New Roman" w:hAnsi="Times New Roman"/>
        </w:rPr>
        <w:t xml:space="preserve"> </w:t>
      </w:r>
      <w:r w:rsidR="003A1480">
        <w:rPr>
          <w:rFonts w:ascii="Times New Roman" w:hAnsi="Times New Roman"/>
        </w:rPr>
        <w:t>findings</w:t>
      </w:r>
      <w:r w:rsidR="009872D4">
        <w:rPr>
          <w:rFonts w:ascii="Times New Roman" w:hAnsi="Times New Roman"/>
        </w:rPr>
        <w:t xml:space="preserve"> </w:t>
      </w:r>
      <w:r>
        <w:rPr>
          <w:rFonts w:ascii="Times New Roman" w:hAnsi="Times New Roman"/>
        </w:rPr>
        <w:t xml:space="preserve">demonstrate </w:t>
      </w:r>
      <w:r w:rsidR="009A4664">
        <w:rPr>
          <w:rFonts w:ascii="Times New Roman" w:hAnsi="Times New Roman"/>
        </w:rPr>
        <w:t xml:space="preserve">statistically significant </w:t>
      </w:r>
      <w:r>
        <w:rPr>
          <w:rFonts w:ascii="Times New Roman" w:hAnsi="Times New Roman"/>
        </w:rPr>
        <w:t xml:space="preserve">relationships between variation in the pre-dose </w:t>
      </w:r>
      <w:r w:rsidR="0006291B">
        <w:rPr>
          <w:rFonts w:ascii="Times New Roman" w:hAnsi="Times New Roman"/>
        </w:rPr>
        <w:t>data</w:t>
      </w:r>
      <w:r>
        <w:rPr>
          <w:rFonts w:ascii="Times New Roman" w:hAnsi="Times New Roman"/>
        </w:rPr>
        <w:t xml:space="preserve"> and the post-dose variation in histopathology and in the urinary level of a drug metabolite relative to its parent.  Thus, the </w:t>
      </w:r>
      <w:r w:rsidR="003A1480">
        <w:rPr>
          <w:rFonts w:ascii="Times New Roman" w:hAnsi="Times New Roman"/>
        </w:rPr>
        <w:t xml:space="preserve">two </w:t>
      </w:r>
      <w:r w:rsidR="007843E9">
        <w:rPr>
          <w:rFonts w:ascii="Times New Roman" w:hAnsi="Times New Roman"/>
        </w:rPr>
        <w:t xml:space="preserve">apparently independent </w:t>
      </w:r>
      <w:r w:rsidR="00871195">
        <w:rPr>
          <w:rFonts w:ascii="Times New Roman" w:hAnsi="Times New Roman"/>
        </w:rPr>
        <w:t>models</w:t>
      </w:r>
      <w:r>
        <w:rPr>
          <w:rFonts w:ascii="Times New Roman" w:hAnsi="Times New Roman"/>
        </w:rPr>
        <w:t xml:space="preserve"> provide the first demonstration of the concept of pharmaco-metabonomics, wherein drug-induced responses in individual subjects are potentially predictable from pre-dose metabolite profiles, which </w:t>
      </w:r>
      <w:r w:rsidR="007843E9">
        <w:rPr>
          <w:rFonts w:ascii="Times New Roman" w:hAnsi="Times New Roman"/>
        </w:rPr>
        <w:t xml:space="preserve">serve as biochemical signatures that </w:t>
      </w:r>
      <w:r>
        <w:rPr>
          <w:rFonts w:ascii="Times New Roman" w:hAnsi="Times New Roman"/>
          <w:szCs w:val="28"/>
        </w:rPr>
        <w:t xml:space="preserve">report simultaneously on multiple factors of relevance to drug metabolism and drug effects.  </w:t>
      </w:r>
      <w:r>
        <w:rPr>
          <w:rFonts w:ascii="Times New Roman" w:hAnsi="Times New Roman"/>
        </w:rPr>
        <w:t>Looking forward, we propose that this pharmaco-metabonomic approach, which amounts to response-targeted pre-dose phenotyping, might provide the basis of a future population screening tool for selecting individuals according to their suitability for treatment with particular drugs, drug classes, or drug doses.  Furthermore, this approach should have certain advantages over methods for drug and dose selection that are dependent on the use of test compounds</w:t>
      </w:r>
      <w:r w:rsidR="00FF7CBD">
        <w:rPr>
          <w:rFonts w:ascii="Times New Roman" w:hAnsi="Times New Roman"/>
          <w:szCs w:val="28"/>
          <w:vertAlign w:val="superscript"/>
        </w:rPr>
        <w:t>25</w:t>
      </w:r>
      <w:r>
        <w:rPr>
          <w:rFonts w:ascii="Times New Roman" w:hAnsi="Times New Roman"/>
        </w:rPr>
        <w:t xml:space="preserve"> to characterise particular aspects of an individual’s metabolic </w:t>
      </w:r>
      <w:r>
        <w:rPr>
          <w:rFonts w:ascii="Times New Roman" w:hAnsi="Times New Roman"/>
        </w:rPr>
        <w:lastRenderedPageBreak/>
        <w:t>phenotype</w:t>
      </w:r>
      <w:r w:rsidR="007843E9">
        <w:rPr>
          <w:rFonts w:ascii="Times New Roman" w:hAnsi="Times New Roman"/>
          <w:szCs w:val="28"/>
          <w:vertAlign w:val="superscript"/>
        </w:rPr>
        <w:t xml:space="preserve"> </w:t>
      </w:r>
      <w:r w:rsidR="007843E9" w:rsidRPr="007843E9">
        <w:rPr>
          <w:rFonts w:ascii="Times New Roman" w:hAnsi="Times New Roman"/>
          <w:szCs w:val="28"/>
        </w:rPr>
        <w:t>with</w:t>
      </w:r>
      <w:r w:rsidR="007843E9">
        <w:rPr>
          <w:rFonts w:ascii="Times New Roman" w:hAnsi="Times New Roman"/>
        </w:rPr>
        <w:t xml:space="preserve"> the pharmaco-metabonomic approach potentially providing automatic identification and weighting of multiple response-determining factors</w:t>
      </w:r>
      <w:r>
        <w:rPr>
          <w:rFonts w:ascii="Times New Roman" w:hAnsi="Times New Roman"/>
        </w:rPr>
        <w:t>.  A further inherent benefit of the pharmaco-metabonomic approach is the identification of new biomarkers and the provision of insights into their significance.</w:t>
      </w:r>
    </w:p>
    <w:p w:rsidR="00D5258A" w:rsidRDefault="00D5258A">
      <w:pPr>
        <w:pStyle w:val="BodyText2"/>
        <w:spacing w:line="480" w:lineRule="auto"/>
        <w:jc w:val="both"/>
        <w:rPr>
          <w:rFonts w:ascii="Times New Roman" w:hAnsi="Times New Roman"/>
          <w:b w:val="0"/>
          <w:color w:val="000000"/>
        </w:rPr>
      </w:pPr>
    </w:p>
    <w:p w:rsidR="00D5258A" w:rsidRPr="00C66C8F" w:rsidRDefault="00D5258A">
      <w:pPr>
        <w:pStyle w:val="BodyText"/>
        <w:spacing w:line="480" w:lineRule="auto"/>
        <w:ind w:right="98"/>
        <w:jc w:val="both"/>
        <w:rPr>
          <w:rFonts w:ascii="Times New Roman" w:hAnsi="Times New Roman"/>
          <w:b w:val="0"/>
          <w:color w:val="000000"/>
          <w:sz w:val="28"/>
          <w:szCs w:val="28"/>
          <w:lang w:val="en-US"/>
        </w:rPr>
      </w:pPr>
      <w:r w:rsidRPr="00C66C8F">
        <w:rPr>
          <w:rFonts w:ascii="Times New Roman" w:hAnsi="Times New Roman"/>
          <w:b w:val="0"/>
          <w:color w:val="000000"/>
          <w:sz w:val="28"/>
          <w:szCs w:val="28"/>
        </w:rPr>
        <w:t xml:space="preserve">The main </w:t>
      </w:r>
      <w:r w:rsidR="00073212" w:rsidRPr="00C66C8F">
        <w:rPr>
          <w:rFonts w:ascii="Times New Roman" w:hAnsi="Times New Roman"/>
          <w:b w:val="0"/>
          <w:color w:val="000000"/>
          <w:sz w:val="28"/>
          <w:szCs w:val="28"/>
        </w:rPr>
        <w:t xml:space="preserve">potential </w:t>
      </w:r>
      <w:r w:rsidRPr="00C66C8F">
        <w:rPr>
          <w:rFonts w:ascii="Times New Roman" w:hAnsi="Times New Roman"/>
          <w:b w:val="0"/>
          <w:color w:val="000000"/>
          <w:sz w:val="28"/>
          <w:szCs w:val="28"/>
        </w:rPr>
        <w:t>application we envisage for pharmaco-metabonomics is in respect of personalised human healthcare and clearly there is a need for further development and to investigate how well the approach can be transferred from single strain laboratory animals to human subjects, where much greater genetic and environmental variation would be expected.    Recent developments in data analysis should assist the process of pharmaco-metabonomic modelling and biomarker identification</w:t>
      </w:r>
      <w:r w:rsidRPr="00C66C8F">
        <w:rPr>
          <w:rFonts w:ascii="Times New Roman" w:hAnsi="Times New Roman"/>
          <w:b w:val="0"/>
          <w:color w:val="000000"/>
          <w:sz w:val="28"/>
          <w:szCs w:val="28"/>
          <w:vertAlign w:val="superscript"/>
        </w:rPr>
        <w:t>26</w:t>
      </w:r>
      <w:proofErr w:type="gramStart"/>
      <w:r w:rsidRPr="00C66C8F">
        <w:rPr>
          <w:rFonts w:ascii="Times New Roman" w:hAnsi="Times New Roman"/>
          <w:b w:val="0"/>
          <w:color w:val="000000"/>
          <w:sz w:val="28"/>
          <w:szCs w:val="28"/>
          <w:vertAlign w:val="superscript"/>
        </w:rPr>
        <w:t>,27</w:t>
      </w:r>
      <w:proofErr w:type="gramEnd"/>
      <w:r w:rsidRPr="00C66C8F">
        <w:rPr>
          <w:rFonts w:ascii="Times New Roman" w:hAnsi="Times New Roman"/>
          <w:b w:val="0"/>
          <w:color w:val="000000"/>
          <w:sz w:val="28"/>
          <w:szCs w:val="28"/>
        </w:rPr>
        <w:t xml:space="preserve">. Other analytical techniques such as LC-MS and GC-MS might also be employed, with the likelihood of detecting a large number of low </w:t>
      </w:r>
      <w:r w:rsidR="006C09D4">
        <w:rPr>
          <w:rFonts w:ascii="Times New Roman" w:hAnsi="Times New Roman"/>
          <w:b w:val="0"/>
          <w:color w:val="000000"/>
          <w:sz w:val="28"/>
          <w:szCs w:val="28"/>
        </w:rPr>
        <w:t>concentration</w:t>
      </w:r>
      <w:r w:rsidRPr="00C66C8F">
        <w:rPr>
          <w:rFonts w:ascii="Times New Roman" w:hAnsi="Times New Roman"/>
          <w:b w:val="0"/>
          <w:color w:val="000000"/>
          <w:sz w:val="28"/>
          <w:szCs w:val="28"/>
        </w:rPr>
        <w:t xml:space="preserve"> metabolites not normally accessible by NMR.  Metabolic profiling of fluids other than urine, </w:t>
      </w:r>
      <w:r w:rsidRPr="00C66C8F">
        <w:rPr>
          <w:rFonts w:ascii="Times New Roman" w:hAnsi="Times New Roman"/>
          <w:b w:val="0"/>
          <w:sz w:val="28"/>
          <w:szCs w:val="28"/>
          <w:lang w:val="en-US"/>
        </w:rPr>
        <w:t xml:space="preserve">such as blood and faecal extracts, </w:t>
      </w:r>
      <w:r w:rsidR="006C09D4">
        <w:rPr>
          <w:rFonts w:ascii="Times New Roman" w:hAnsi="Times New Roman"/>
          <w:b w:val="0"/>
          <w:sz w:val="28"/>
          <w:szCs w:val="28"/>
          <w:lang w:val="en-US"/>
        </w:rPr>
        <w:t>sh</w:t>
      </w:r>
      <w:r w:rsidRPr="00C66C8F">
        <w:rPr>
          <w:rFonts w:ascii="Times New Roman" w:hAnsi="Times New Roman"/>
          <w:b w:val="0"/>
          <w:sz w:val="28"/>
          <w:szCs w:val="28"/>
          <w:lang w:val="en-US"/>
        </w:rPr>
        <w:t xml:space="preserve">ould also provide additional information.  </w:t>
      </w:r>
      <w:r w:rsidRPr="00C66C8F">
        <w:rPr>
          <w:rFonts w:ascii="Times New Roman" w:hAnsi="Times New Roman"/>
          <w:b w:val="0"/>
          <w:color w:val="000000"/>
          <w:sz w:val="28"/>
          <w:szCs w:val="28"/>
        </w:rPr>
        <w:t>In practi</w:t>
      </w:r>
      <w:r w:rsidR="006C09D4">
        <w:rPr>
          <w:rFonts w:ascii="Times New Roman" w:hAnsi="Times New Roman"/>
          <w:b w:val="0"/>
          <w:color w:val="000000"/>
          <w:sz w:val="28"/>
          <w:szCs w:val="28"/>
        </w:rPr>
        <w:t>s</w:t>
      </w:r>
      <w:r w:rsidRPr="00C66C8F">
        <w:rPr>
          <w:rFonts w:ascii="Times New Roman" w:hAnsi="Times New Roman"/>
          <w:b w:val="0"/>
          <w:color w:val="000000"/>
          <w:sz w:val="28"/>
          <w:szCs w:val="28"/>
        </w:rPr>
        <w:t>e, the success or otherwise of the pharmaco-metabonomic approach would be expected to vary from drug to drug and would depend on the nature of the</w:t>
      </w:r>
      <w:r w:rsidR="00D02343">
        <w:rPr>
          <w:rFonts w:ascii="Times New Roman" w:hAnsi="Times New Roman"/>
          <w:b w:val="0"/>
          <w:color w:val="000000"/>
          <w:sz w:val="28"/>
          <w:szCs w:val="28"/>
        </w:rPr>
        <w:t xml:space="preserve"> </w:t>
      </w:r>
      <w:r w:rsidRPr="00C66C8F">
        <w:rPr>
          <w:rFonts w:ascii="Times New Roman" w:hAnsi="Times New Roman"/>
          <w:b w:val="0"/>
          <w:color w:val="000000"/>
          <w:sz w:val="28"/>
          <w:szCs w:val="28"/>
        </w:rPr>
        <w:t>challenge posed</w:t>
      </w:r>
      <w:r w:rsidR="00846374">
        <w:rPr>
          <w:rFonts w:ascii="Times New Roman" w:hAnsi="Times New Roman"/>
          <w:b w:val="0"/>
          <w:color w:val="000000"/>
          <w:sz w:val="28"/>
          <w:szCs w:val="28"/>
        </w:rPr>
        <w:t xml:space="preserve"> </w:t>
      </w:r>
      <w:r w:rsidR="006B1D6F">
        <w:rPr>
          <w:rFonts w:ascii="Times New Roman" w:hAnsi="Times New Roman"/>
          <w:b w:val="0"/>
          <w:color w:val="000000"/>
          <w:sz w:val="28"/>
          <w:szCs w:val="28"/>
        </w:rPr>
        <w:t xml:space="preserve">by </w:t>
      </w:r>
      <w:r w:rsidR="00846374">
        <w:rPr>
          <w:rFonts w:ascii="Times New Roman" w:hAnsi="Times New Roman"/>
          <w:b w:val="0"/>
          <w:color w:val="000000"/>
          <w:sz w:val="28"/>
          <w:szCs w:val="28"/>
        </w:rPr>
        <w:t>each drug</w:t>
      </w:r>
      <w:r w:rsidRPr="00C66C8F">
        <w:rPr>
          <w:rFonts w:ascii="Times New Roman" w:hAnsi="Times New Roman"/>
          <w:b w:val="0"/>
          <w:color w:val="000000"/>
          <w:sz w:val="28"/>
          <w:szCs w:val="28"/>
        </w:rPr>
        <w:t xml:space="preserve">, on the response of interest and on the extent to which the relevant response-controlling factors are reported in the pre-dose data.  However, in principle, by using this methodology, adverse drug reactions could potentially be avoided and drugs and dose levels could be targeted more effectively according to </w:t>
      </w:r>
      <w:r w:rsidR="0080528E" w:rsidRPr="00C66C8F">
        <w:rPr>
          <w:rFonts w:ascii="Times New Roman" w:hAnsi="Times New Roman"/>
          <w:b w:val="0"/>
          <w:color w:val="000000"/>
          <w:sz w:val="28"/>
          <w:szCs w:val="28"/>
        </w:rPr>
        <w:t xml:space="preserve">the metabolic and other </w:t>
      </w:r>
      <w:r w:rsidRPr="00C66C8F">
        <w:rPr>
          <w:rFonts w:ascii="Times New Roman" w:hAnsi="Times New Roman"/>
          <w:b w:val="0"/>
          <w:color w:val="000000"/>
          <w:sz w:val="28"/>
          <w:szCs w:val="28"/>
        </w:rPr>
        <w:t>characteristics</w:t>
      </w:r>
      <w:r w:rsidR="0080528E" w:rsidRPr="00C66C8F">
        <w:rPr>
          <w:rFonts w:ascii="Times New Roman" w:hAnsi="Times New Roman"/>
          <w:b w:val="0"/>
          <w:color w:val="000000"/>
          <w:sz w:val="28"/>
          <w:szCs w:val="28"/>
        </w:rPr>
        <w:t xml:space="preserve"> of each individual</w:t>
      </w:r>
      <w:r w:rsidRPr="00C66C8F">
        <w:rPr>
          <w:rFonts w:ascii="Times New Roman" w:hAnsi="Times New Roman"/>
          <w:b w:val="0"/>
          <w:color w:val="000000"/>
          <w:sz w:val="28"/>
          <w:szCs w:val="28"/>
        </w:rPr>
        <w:t xml:space="preserve">. </w:t>
      </w:r>
      <w:r w:rsidR="00A87C13" w:rsidRPr="00C66C8F">
        <w:rPr>
          <w:rFonts w:ascii="Times New Roman" w:hAnsi="Times New Roman"/>
          <w:b w:val="0"/>
          <w:color w:val="000000"/>
          <w:sz w:val="28"/>
          <w:szCs w:val="28"/>
        </w:rPr>
        <w:t xml:space="preserve"> </w:t>
      </w:r>
      <w:r w:rsidR="00846374">
        <w:rPr>
          <w:rFonts w:ascii="Times New Roman" w:hAnsi="Times New Roman"/>
          <w:b w:val="0"/>
          <w:color w:val="000000"/>
          <w:sz w:val="28"/>
          <w:szCs w:val="28"/>
        </w:rPr>
        <w:t>Theoretically</w:t>
      </w:r>
      <w:r w:rsidR="00A87C13" w:rsidRPr="00C66C8F">
        <w:rPr>
          <w:rFonts w:ascii="Times New Roman" w:hAnsi="Times New Roman"/>
          <w:b w:val="0"/>
          <w:color w:val="000000"/>
          <w:sz w:val="28"/>
          <w:szCs w:val="28"/>
        </w:rPr>
        <w:t xml:space="preserve">, pharmaco-metabonomics has an important advantage over pharmacogenomics </w:t>
      </w:r>
      <w:r w:rsidR="00A87C13" w:rsidRPr="00C66C8F">
        <w:rPr>
          <w:rFonts w:ascii="Times New Roman" w:eastAsia="Times New Roman" w:hAnsi="Times New Roman"/>
          <w:b w:val="0"/>
          <w:color w:val="000000"/>
          <w:sz w:val="28"/>
          <w:szCs w:val="28"/>
          <w:lang w:val="en-US"/>
        </w:rPr>
        <w:t xml:space="preserve">in that it can potentially take account of </w:t>
      </w:r>
      <w:r w:rsidR="00A87C13" w:rsidRPr="00C66C8F">
        <w:rPr>
          <w:rFonts w:ascii="Times New Roman" w:eastAsia="Times New Roman" w:hAnsi="Times New Roman"/>
          <w:b w:val="0"/>
          <w:color w:val="000000"/>
          <w:sz w:val="28"/>
          <w:szCs w:val="28"/>
          <w:lang w:val="en-US"/>
        </w:rPr>
        <w:lastRenderedPageBreak/>
        <w:t>both genomic and environmental factors affecting drug-induced responses.  Furthermore, whilst pharmaco-metabonomics would normally relate to predicting drug- or xenobiotic-induced responses, we envisage that similar methodology could also be applied to predicting individual responses to broader medical, dietary, microbiolog</w:t>
      </w:r>
      <w:r w:rsidR="00073212" w:rsidRPr="00C66C8F">
        <w:rPr>
          <w:rFonts w:ascii="Times New Roman" w:eastAsia="Times New Roman" w:hAnsi="Times New Roman"/>
          <w:b w:val="0"/>
          <w:color w:val="000000"/>
          <w:sz w:val="28"/>
          <w:szCs w:val="28"/>
          <w:lang w:val="en-US"/>
        </w:rPr>
        <w:t>ical or physiological challenges</w:t>
      </w:r>
      <w:r w:rsidR="00A87C13" w:rsidRPr="00C66C8F">
        <w:rPr>
          <w:rFonts w:ascii="Times New Roman" w:eastAsia="Times New Roman" w:hAnsi="Times New Roman"/>
          <w:b w:val="0"/>
          <w:color w:val="000000"/>
          <w:sz w:val="28"/>
          <w:szCs w:val="28"/>
          <w:lang w:val="en-US"/>
        </w:rPr>
        <w:t>.</w:t>
      </w:r>
    </w:p>
    <w:p w:rsidR="00AF69BD" w:rsidRDefault="00AF69BD">
      <w:pPr>
        <w:pStyle w:val="BodyText2"/>
        <w:spacing w:line="480" w:lineRule="auto"/>
        <w:jc w:val="both"/>
        <w:rPr>
          <w:rFonts w:ascii="Times New Roman" w:hAnsi="Times New Roman"/>
          <w:color w:val="000000"/>
          <w:sz w:val="32"/>
        </w:rPr>
      </w:pPr>
    </w:p>
    <w:p w:rsidR="00D5258A" w:rsidRDefault="00D5258A">
      <w:pPr>
        <w:pStyle w:val="BodyText2"/>
        <w:spacing w:line="480" w:lineRule="auto"/>
        <w:jc w:val="both"/>
        <w:rPr>
          <w:rFonts w:ascii="Times New Roman" w:hAnsi="Times New Roman"/>
          <w:color w:val="000000"/>
          <w:sz w:val="32"/>
        </w:rPr>
      </w:pPr>
      <w:r>
        <w:rPr>
          <w:rFonts w:ascii="Times New Roman" w:hAnsi="Times New Roman"/>
          <w:color w:val="000000"/>
          <w:sz w:val="32"/>
        </w:rPr>
        <w:t>Methods</w:t>
      </w:r>
    </w:p>
    <w:p w:rsidR="00D5258A" w:rsidRDefault="00D5258A">
      <w:pPr>
        <w:pStyle w:val="BodyText2"/>
        <w:spacing w:line="480" w:lineRule="auto"/>
        <w:jc w:val="both"/>
        <w:rPr>
          <w:rFonts w:ascii="Times New Roman" w:hAnsi="Times New Roman"/>
          <w:color w:val="000000"/>
          <w:sz w:val="32"/>
        </w:rPr>
      </w:pPr>
    </w:p>
    <w:p w:rsidR="00D5258A" w:rsidRDefault="00D5258A">
      <w:pPr>
        <w:pStyle w:val="BodyText2"/>
        <w:spacing w:line="480" w:lineRule="auto"/>
        <w:jc w:val="both"/>
        <w:rPr>
          <w:rFonts w:ascii="Times New Roman" w:hAnsi="Times New Roman"/>
          <w:b w:val="0"/>
          <w:color w:val="000000"/>
          <w:szCs w:val="28"/>
        </w:rPr>
      </w:pPr>
      <w:r>
        <w:rPr>
          <w:rFonts w:ascii="Times New Roman" w:hAnsi="Times New Roman"/>
          <w:b w:val="0"/>
          <w:color w:val="000000"/>
          <w:szCs w:val="28"/>
        </w:rPr>
        <w:t>Th</w:t>
      </w:r>
      <w:r w:rsidR="00C666F6">
        <w:rPr>
          <w:rFonts w:ascii="Times New Roman" w:hAnsi="Times New Roman"/>
          <w:b w:val="0"/>
          <w:color w:val="000000"/>
          <w:szCs w:val="28"/>
        </w:rPr>
        <w:t>is section</w:t>
      </w:r>
      <w:r>
        <w:rPr>
          <w:rFonts w:ascii="Times New Roman" w:hAnsi="Times New Roman"/>
          <w:b w:val="0"/>
          <w:color w:val="000000"/>
          <w:szCs w:val="28"/>
        </w:rPr>
        <w:t xml:space="preserve"> relates to the paracetamol study only. Further details are provided as supplementary </w:t>
      </w:r>
      <w:r w:rsidR="009872D4">
        <w:rPr>
          <w:rFonts w:ascii="Times New Roman" w:hAnsi="Times New Roman"/>
          <w:b w:val="0"/>
          <w:color w:val="000000"/>
          <w:szCs w:val="28"/>
        </w:rPr>
        <w:t>methods</w:t>
      </w:r>
      <w:r>
        <w:rPr>
          <w:rFonts w:ascii="Times New Roman" w:hAnsi="Times New Roman"/>
          <w:b w:val="0"/>
          <w:color w:val="000000"/>
          <w:szCs w:val="28"/>
        </w:rPr>
        <w:t>.</w:t>
      </w:r>
    </w:p>
    <w:p w:rsidR="00D5258A" w:rsidRDefault="00D5258A">
      <w:pPr>
        <w:pStyle w:val="BodyText2"/>
        <w:spacing w:line="480" w:lineRule="auto"/>
        <w:jc w:val="both"/>
        <w:rPr>
          <w:i/>
        </w:rPr>
      </w:pPr>
      <w:proofErr w:type="gramStart"/>
      <w:r>
        <w:rPr>
          <w:rFonts w:ascii="Times New Roman" w:hAnsi="Times New Roman"/>
          <w:color w:val="000000"/>
          <w:szCs w:val="28"/>
        </w:rPr>
        <w:t>Animal treatment and sampling.</w:t>
      </w:r>
      <w:proofErr w:type="gramEnd"/>
      <w:r>
        <w:rPr>
          <w:rFonts w:ascii="Times New Roman" w:hAnsi="Times New Roman"/>
          <w:i/>
          <w:color w:val="000000"/>
        </w:rPr>
        <w:t xml:space="preserve">  </w:t>
      </w:r>
      <w:r>
        <w:rPr>
          <w:rFonts w:ascii="Times New Roman" w:hAnsi="Times New Roman"/>
          <w:b w:val="0"/>
          <w:color w:val="000000"/>
        </w:rPr>
        <w:t xml:space="preserve">The study was performed in accordance with the relevant national </w:t>
      </w:r>
      <w:r>
        <w:rPr>
          <w:rFonts w:ascii="Times New Roman" w:hAnsi="Times New Roman"/>
          <w:b w:val="0"/>
          <w:color w:val="000000"/>
          <w:szCs w:val="28"/>
        </w:rPr>
        <w:t>legislation using 75 male Sprague-Dawley rats [Crl</w:t>
      </w:r>
      <w:proofErr w:type="gramStart"/>
      <w:r>
        <w:rPr>
          <w:rFonts w:ascii="Times New Roman" w:hAnsi="Times New Roman"/>
          <w:b w:val="0"/>
          <w:color w:val="000000"/>
          <w:szCs w:val="28"/>
        </w:rPr>
        <w:t>:CD</w:t>
      </w:r>
      <w:proofErr w:type="gramEnd"/>
      <w:r>
        <w:rPr>
          <w:rFonts w:ascii="Times New Roman" w:hAnsi="Times New Roman"/>
          <w:b w:val="0"/>
          <w:color w:val="000000"/>
          <w:szCs w:val="28"/>
        </w:rPr>
        <w:t xml:space="preserve"> (SD)IGS BR] obtained from </w:t>
      </w:r>
      <w:smartTag w:uri="urn:schemas-microsoft-com:office:smarttags" w:element="place">
        <w:smartTag w:uri="urn:schemas-microsoft-com:office:smarttags" w:element="City">
          <w:r>
            <w:rPr>
              <w:rFonts w:ascii="Times New Roman" w:hAnsi="Times New Roman"/>
              <w:b w:val="0"/>
              <w:color w:val="000000"/>
              <w:szCs w:val="28"/>
            </w:rPr>
            <w:t>Charles River</w:t>
          </w:r>
        </w:smartTag>
        <w:r>
          <w:rPr>
            <w:rFonts w:ascii="Times New Roman" w:hAnsi="Times New Roman"/>
            <w:b w:val="0"/>
            <w:color w:val="000000"/>
            <w:szCs w:val="28"/>
          </w:rPr>
          <w:t xml:space="preserve">, </w:t>
        </w:r>
        <w:smartTag w:uri="urn:schemas-microsoft-com:office:smarttags" w:element="country-region">
          <w:r>
            <w:rPr>
              <w:rFonts w:ascii="Times New Roman" w:hAnsi="Times New Roman"/>
              <w:b w:val="0"/>
              <w:color w:val="000000"/>
              <w:szCs w:val="28"/>
            </w:rPr>
            <w:t>France</w:t>
          </w:r>
        </w:smartTag>
      </w:smartTag>
      <w:r>
        <w:rPr>
          <w:rFonts w:ascii="Times New Roman" w:hAnsi="Times New Roman"/>
          <w:b w:val="0"/>
          <w:color w:val="000000"/>
          <w:szCs w:val="28"/>
        </w:rPr>
        <w:t>.  The rats (approximately 7 weeks old) were placed in individual cages in a controlled environment with free access to water and a commercial feed.  65 animals received, by oesophageal intubation, a single oral dose of paracetamol (600 mg/kg) as an aqueous suspension containing methylcellulose (0.5% w/v) and Tween 80 (0.1% w/v). A further 10 rats were used as a control set and were orally dosed with the vehicle.  Individual pre- (-48 to -24 h) and post-dose (0 to 24 h) urine samples were collected</w:t>
      </w:r>
      <w:r>
        <w:rPr>
          <w:rFonts w:ascii="Times New Roman" w:hAnsi="Times New Roman"/>
          <w:b w:val="0"/>
          <w:color w:val="000000"/>
        </w:rPr>
        <w:t xml:space="preserve"> into ice-cooled vessels containing 0.5 ml of an aqueous 100 mg/ml solution of sodium azide as </w:t>
      </w:r>
      <w:r w:rsidR="00086273">
        <w:rPr>
          <w:rFonts w:ascii="Times New Roman" w:hAnsi="Times New Roman"/>
          <w:b w:val="0"/>
          <w:color w:val="000000"/>
        </w:rPr>
        <w:t xml:space="preserve">a </w:t>
      </w:r>
      <w:r>
        <w:rPr>
          <w:rFonts w:ascii="Times New Roman" w:hAnsi="Times New Roman"/>
          <w:b w:val="0"/>
          <w:color w:val="000000"/>
        </w:rPr>
        <w:t xml:space="preserve">preservative.  </w:t>
      </w:r>
      <w:r>
        <w:rPr>
          <w:rStyle w:val="AGSComment"/>
          <w:rFonts w:ascii="Times New Roman" w:hAnsi="Times New Roman"/>
          <w:b w:val="0"/>
          <w:color w:val="000000"/>
          <w:sz w:val="28"/>
        </w:rPr>
        <w:t xml:space="preserve">After the post-dose urine collection, individual blood samples were collected and centrifuged to recover plasma </w:t>
      </w:r>
      <w:r>
        <w:rPr>
          <w:rStyle w:val="AGSComment"/>
          <w:rFonts w:ascii="Times New Roman" w:hAnsi="Times New Roman"/>
          <w:b w:val="0"/>
          <w:color w:val="000000"/>
          <w:sz w:val="28"/>
        </w:rPr>
        <w:lastRenderedPageBreak/>
        <w:t>for clinical chemistry. The animals were then euthanased by means of CO</w:t>
      </w:r>
      <w:r>
        <w:rPr>
          <w:rStyle w:val="AGSComment"/>
          <w:rFonts w:ascii="Times New Roman" w:hAnsi="Times New Roman"/>
          <w:b w:val="0"/>
          <w:color w:val="000000"/>
          <w:sz w:val="28"/>
          <w:vertAlign w:val="subscript"/>
        </w:rPr>
        <w:t>2</w:t>
      </w:r>
      <w:r>
        <w:rPr>
          <w:rStyle w:val="AGSComment"/>
          <w:rFonts w:ascii="Times New Roman" w:hAnsi="Times New Roman"/>
          <w:b w:val="0"/>
          <w:color w:val="000000"/>
          <w:sz w:val="28"/>
        </w:rPr>
        <w:t xml:space="preserve"> and the liver of each was examined, weighed and sampled for histopathology. </w:t>
      </w:r>
    </w:p>
    <w:p w:rsidR="00D5258A" w:rsidRDefault="00D5258A">
      <w:pPr>
        <w:pStyle w:val="BodyText2"/>
        <w:spacing w:line="480" w:lineRule="auto"/>
        <w:jc w:val="both"/>
        <w:rPr>
          <w:rStyle w:val="AGSComment"/>
          <w:rFonts w:ascii="Times New Roman" w:hAnsi="Times New Roman"/>
          <w:b w:val="0"/>
          <w:color w:val="auto"/>
          <w:sz w:val="28"/>
          <w:szCs w:val="28"/>
        </w:rPr>
      </w:pPr>
      <w:r>
        <w:rPr>
          <w:rFonts w:ascii="Times New Roman" w:hAnsi="Times New Roman"/>
          <w:color w:val="000000"/>
          <w:szCs w:val="28"/>
        </w:rPr>
        <w:t>NMR sample preparation, spectral acquisition, processing and construction of data sets.</w:t>
      </w:r>
      <w:r>
        <w:rPr>
          <w:rFonts w:ascii="Times New Roman" w:hAnsi="Times New Roman"/>
          <w:i/>
          <w:color w:val="000000"/>
        </w:rPr>
        <w:t xml:space="preserve">  </w:t>
      </w:r>
      <w:r>
        <w:rPr>
          <w:rFonts w:ascii="Times New Roman" w:hAnsi="Times New Roman"/>
          <w:b w:val="0"/>
          <w:szCs w:val="28"/>
        </w:rPr>
        <w:t xml:space="preserve">Urine samples were prepared as described in the supplementary information.   </w:t>
      </w:r>
      <w:r>
        <w:rPr>
          <w:rFonts w:ascii="Times New Roman" w:hAnsi="Times New Roman"/>
          <w:b w:val="0"/>
          <w:szCs w:val="28"/>
          <w:vertAlign w:val="superscript"/>
        </w:rPr>
        <w:t>1</w:t>
      </w:r>
      <w:r>
        <w:rPr>
          <w:rFonts w:ascii="Times New Roman" w:hAnsi="Times New Roman"/>
          <w:b w:val="0"/>
          <w:szCs w:val="28"/>
        </w:rPr>
        <w:t xml:space="preserve">H NMR spectra were acquired (7200 Hz spectral width, 65536 time domain points, 8 dummy scans, 64 real scans) at 600 MHz, at a nominal 303K, on a Bruker DRX 600 NMR spectrometer operated by the ‘XWINNMR’ software (both </w:t>
      </w:r>
      <w:r>
        <w:rPr>
          <w:rStyle w:val="AGSComment"/>
          <w:rFonts w:ascii="Times New Roman" w:hAnsi="Times New Roman"/>
          <w:b w:val="0"/>
          <w:color w:val="000000"/>
          <w:sz w:val="28"/>
          <w:szCs w:val="28"/>
        </w:rPr>
        <w:t>Bruker Biospin, Rheinstetten, Germany) with the</w:t>
      </w:r>
      <w:r>
        <w:rPr>
          <w:rFonts w:ascii="Times New Roman" w:hAnsi="Times New Roman"/>
          <w:b w:val="0"/>
          <w:szCs w:val="28"/>
        </w:rPr>
        <w:t xml:space="preserve"> ‘noesypresat’ pulse sequence</w:t>
      </w:r>
      <w:r>
        <w:rPr>
          <w:rFonts w:ascii="Times New Roman" w:hAnsi="Times New Roman"/>
          <w:b w:val="0"/>
          <w:szCs w:val="28"/>
          <w:vertAlign w:val="superscript"/>
        </w:rPr>
        <w:t>28</w:t>
      </w:r>
      <w:r>
        <w:rPr>
          <w:rFonts w:ascii="Times New Roman" w:hAnsi="Times New Roman"/>
          <w:b w:val="0"/>
          <w:szCs w:val="28"/>
        </w:rPr>
        <w:t xml:space="preserve"> used to suppress the water signal</w:t>
      </w:r>
      <w:r>
        <w:rPr>
          <w:rFonts w:ascii="Times New Roman" w:hAnsi="Times New Roman"/>
          <w:b w:val="0"/>
          <w:szCs w:val="28"/>
          <w:vertAlign w:val="superscript"/>
        </w:rPr>
        <w:t xml:space="preserve"> </w:t>
      </w:r>
      <w:r>
        <w:rPr>
          <w:rFonts w:ascii="Times New Roman" w:hAnsi="Times New Roman"/>
          <w:b w:val="0"/>
          <w:szCs w:val="28"/>
        </w:rPr>
        <w:t>during a 3 s relaxation delay and during the 0.1 s mixing time.</w:t>
      </w:r>
      <w:r>
        <w:rPr>
          <w:rStyle w:val="AGSComment"/>
          <w:rFonts w:ascii="Times New Roman" w:hAnsi="Times New Roman"/>
          <w:b w:val="0"/>
          <w:color w:val="000000"/>
          <w:sz w:val="28"/>
          <w:szCs w:val="28"/>
        </w:rPr>
        <w:t xml:space="preserve">  Following Fourier transformation with 0.3Hz line broadening and a single zero-filling, the pre-dose spectra were manually phased and baseline-corrected and the chemical shift scale set by assigning the value of </w:t>
      </w:r>
      <w:r>
        <w:rPr>
          <w:rStyle w:val="AGSComment"/>
          <w:rFonts w:ascii="Times New Roman" w:hAnsi="Times New Roman"/>
          <w:b w:val="0"/>
          <w:color w:val="000000"/>
          <w:sz w:val="28"/>
          <w:szCs w:val="28"/>
        </w:rPr>
        <w:sym w:font="Symbol" w:char="F064"/>
      </w:r>
      <w:r>
        <w:rPr>
          <w:rStyle w:val="AGSComment"/>
          <w:rFonts w:ascii="Times New Roman" w:hAnsi="Times New Roman"/>
          <w:b w:val="0"/>
          <w:color w:val="000000"/>
          <w:sz w:val="28"/>
          <w:szCs w:val="28"/>
        </w:rPr>
        <w:t xml:space="preserve"> 0 to the signal from the added TSP.</w:t>
      </w:r>
      <w:r>
        <w:rPr>
          <w:rFonts w:ascii="Times New Roman" w:hAnsi="Times New Roman"/>
          <w:b w:val="0"/>
          <w:color w:val="000000"/>
          <w:szCs w:val="28"/>
        </w:rPr>
        <w:t xml:space="preserve">  Each of these processed spectra was then ‘data-reduced’ using the ‘AMIX’ software (Bruker Biospin) wherein the spectral regions δ &gt; 9.5, δ 6.1 - 5.5, δ 5.0 - 4.5 and δ &lt; 0.5 were discarded before dividing the remainder of each spectrum into sequential 0.04 ppm-wide segments (‘bins’) and obtaining an integral for each segment.  These integrals were then normalised to give the same total integral for each data-reduced spectrum.  Each 0.04 ppm-wide spectral segment (bin) was initially identified by the chemical shift at its mid-point but quantities relating to certain compounds were derived by making appropriate bin combinations as described in the supplementary information.   </w:t>
      </w:r>
      <w:r>
        <w:rPr>
          <w:rStyle w:val="AGSComment"/>
          <w:rFonts w:ascii="Times New Roman" w:hAnsi="Times New Roman"/>
          <w:b w:val="0"/>
          <w:color w:val="000000"/>
          <w:sz w:val="28"/>
          <w:szCs w:val="28"/>
        </w:rPr>
        <w:t xml:space="preserve">The post-dose spectra were processed as above and subsequently with resolution enhancement, in order to determine, by reference to the cluster of N-acetyl signals in </w:t>
      </w:r>
      <w:r>
        <w:rPr>
          <w:rStyle w:val="AGSComment"/>
          <w:rFonts w:ascii="Times New Roman" w:hAnsi="Times New Roman"/>
          <w:b w:val="0"/>
          <w:color w:val="000000"/>
          <w:sz w:val="28"/>
          <w:szCs w:val="28"/>
        </w:rPr>
        <w:lastRenderedPageBreak/>
        <w:t xml:space="preserve">the range </w:t>
      </w:r>
      <w:r>
        <w:rPr>
          <w:rStyle w:val="AGSComment"/>
          <w:rFonts w:ascii="Times New Roman" w:hAnsi="Times New Roman"/>
          <w:b w:val="0"/>
          <w:color w:val="000000"/>
          <w:sz w:val="28"/>
          <w:szCs w:val="28"/>
        </w:rPr>
        <w:sym w:font="Symbol" w:char="F064"/>
      </w:r>
      <w:r>
        <w:rPr>
          <w:rStyle w:val="AGSComment"/>
          <w:rFonts w:ascii="Times New Roman" w:hAnsi="Times New Roman"/>
          <w:b w:val="0"/>
          <w:color w:val="000000"/>
          <w:sz w:val="28"/>
          <w:szCs w:val="28"/>
        </w:rPr>
        <w:t xml:space="preserve"> 2.11 – 2.22, the TSP signal and the post-dose urinary volume, the amounts and the relative proportions of the paracetamol-related compounds excreted by each animal.  The amounts excreted were corrected to unit body mass.</w:t>
      </w:r>
    </w:p>
    <w:p w:rsidR="00D5258A" w:rsidRDefault="00D5258A">
      <w:pPr>
        <w:pStyle w:val="BodyText2"/>
        <w:spacing w:line="480" w:lineRule="auto"/>
        <w:jc w:val="both"/>
        <w:rPr>
          <w:rFonts w:ascii="Times New Roman" w:hAnsi="Times New Roman"/>
          <w:b w:val="0"/>
          <w:color w:val="000000"/>
        </w:rPr>
      </w:pPr>
      <w:proofErr w:type="gramStart"/>
      <w:r>
        <w:rPr>
          <w:rFonts w:ascii="Times New Roman" w:hAnsi="Times New Roman"/>
          <w:color w:val="000000"/>
          <w:szCs w:val="28"/>
        </w:rPr>
        <w:t>Clinical chemistry.</w:t>
      </w:r>
      <w:proofErr w:type="gramEnd"/>
      <w:r>
        <w:rPr>
          <w:rFonts w:ascii="Times New Roman" w:hAnsi="Times New Roman"/>
          <w:i/>
          <w:color w:val="000000"/>
        </w:rPr>
        <w:t xml:space="preserve">  </w:t>
      </w:r>
      <w:r>
        <w:rPr>
          <w:rFonts w:ascii="Times New Roman" w:hAnsi="Times New Roman"/>
          <w:b w:val="0"/>
          <w:color w:val="000000"/>
        </w:rPr>
        <w:t>The blood plasma samples were analysed at 30</w:t>
      </w:r>
      <w:r>
        <w:rPr>
          <w:rFonts w:ascii="Times New Roman" w:hAnsi="Times New Roman"/>
          <w:b w:val="0"/>
          <w:color w:val="000000"/>
        </w:rPr>
        <w:sym w:font="Symbol" w:char="F0B0"/>
      </w:r>
      <w:r>
        <w:rPr>
          <w:rFonts w:ascii="Times New Roman" w:hAnsi="Times New Roman"/>
          <w:b w:val="0"/>
          <w:color w:val="000000"/>
        </w:rPr>
        <w:t xml:space="preserve">C, on an AU600 clinical analyser (Olympus, </w:t>
      </w:r>
      <w:smartTag w:uri="urn:schemas-microsoft-com:office:smarttags" w:element="place">
        <w:smartTag w:uri="urn:schemas-microsoft-com:office:smarttags" w:element="City">
          <w:r>
            <w:rPr>
              <w:rFonts w:ascii="Times New Roman" w:hAnsi="Times New Roman"/>
              <w:b w:val="0"/>
              <w:color w:val="000000"/>
            </w:rPr>
            <w:t>Paris</w:t>
          </w:r>
        </w:smartTag>
        <w:r>
          <w:rPr>
            <w:rFonts w:ascii="Times New Roman" w:hAnsi="Times New Roman"/>
            <w:b w:val="0"/>
            <w:color w:val="000000"/>
          </w:rPr>
          <w:t xml:space="preserve">, </w:t>
        </w:r>
        <w:smartTag w:uri="urn:schemas-microsoft-com:office:smarttags" w:element="country-region">
          <w:r>
            <w:rPr>
              <w:rFonts w:ascii="Times New Roman" w:hAnsi="Times New Roman"/>
              <w:b w:val="0"/>
              <w:color w:val="000000"/>
            </w:rPr>
            <w:t>France</w:t>
          </w:r>
        </w:smartTag>
      </w:smartTag>
      <w:r>
        <w:rPr>
          <w:rFonts w:ascii="Times New Roman" w:hAnsi="Times New Roman"/>
          <w:b w:val="0"/>
          <w:color w:val="000000"/>
        </w:rPr>
        <w:t>), for a variety of parameters and univariate statistical analyses performed.  Details and results in the supplementary material.</w:t>
      </w:r>
    </w:p>
    <w:p w:rsidR="00D5258A" w:rsidRDefault="00D5258A">
      <w:pPr>
        <w:pStyle w:val="BodyText2"/>
        <w:spacing w:line="480" w:lineRule="auto"/>
        <w:jc w:val="both"/>
        <w:rPr>
          <w:rFonts w:ascii="Times New Roman" w:hAnsi="Times New Roman"/>
          <w:i/>
          <w:color w:val="000000"/>
          <w:szCs w:val="28"/>
        </w:rPr>
      </w:pPr>
      <w:proofErr w:type="gramStart"/>
      <w:r>
        <w:rPr>
          <w:rFonts w:ascii="Times New Roman" w:hAnsi="Times New Roman"/>
          <w:color w:val="000000"/>
          <w:szCs w:val="28"/>
        </w:rPr>
        <w:t>Histopathology.</w:t>
      </w:r>
      <w:proofErr w:type="gramEnd"/>
      <w:r>
        <w:rPr>
          <w:rFonts w:ascii="Times New Roman" w:hAnsi="Times New Roman"/>
          <w:i/>
          <w:color w:val="000000"/>
        </w:rPr>
        <w:t xml:space="preserve">  </w:t>
      </w:r>
      <w:r>
        <w:rPr>
          <w:rFonts w:ascii="Times New Roman" w:hAnsi="Times New Roman"/>
          <w:b w:val="0"/>
          <w:color w:val="000000"/>
        </w:rPr>
        <w:t xml:space="preserve">For each animal, ten representative samples of the liver (two each from the left, right, left middle, right middle and caudate lobes) were examined, the changes in each lobe scored, a mean histology score (MHS) calculated and </w:t>
      </w:r>
      <w:proofErr w:type="gramStart"/>
      <w:r>
        <w:rPr>
          <w:rFonts w:ascii="Times New Roman" w:hAnsi="Times New Roman"/>
          <w:b w:val="0"/>
          <w:color w:val="000000"/>
        </w:rPr>
        <w:t>an</w:t>
      </w:r>
      <w:proofErr w:type="gramEnd"/>
      <w:r>
        <w:rPr>
          <w:rFonts w:ascii="Times New Roman" w:hAnsi="Times New Roman"/>
          <w:b w:val="0"/>
          <w:color w:val="000000"/>
        </w:rPr>
        <w:t xml:space="preserve"> histology class assigned as described in Table 1.</w:t>
      </w:r>
    </w:p>
    <w:p w:rsidR="00D5258A" w:rsidRDefault="00D5258A">
      <w:pPr>
        <w:pStyle w:val="BodyText2"/>
        <w:spacing w:line="480" w:lineRule="auto"/>
        <w:jc w:val="both"/>
        <w:rPr>
          <w:rFonts w:ascii="Times New Roman" w:hAnsi="Times New Roman"/>
          <w:b w:val="0"/>
          <w:color w:val="000000"/>
        </w:rPr>
      </w:pPr>
      <w:proofErr w:type="gramStart"/>
      <w:r>
        <w:rPr>
          <w:rFonts w:ascii="Times New Roman" w:hAnsi="Times New Roman"/>
          <w:color w:val="000000"/>
          <w:szCs w:val="28"/>
        </w:rPr>
        <w:t>Multivariate modelling.</w:t>
      </w:r>
      <w:proofErr w:type="gramEnd"/>
      <w:r>
        <w:rPr>
          <w:rFonts w:ascii="Times New Roman" w:hAnsi="Times New Roman"/>
          <w:i/>
          <w:color w:val="000000"/>
          <w:szCs w:val="28"/>
        </w:rPr>
        <w:t xml:space="preserve">  </w:t>
      </w:r>
      <w:r>
        <w:rPr>
          <w:rFonts w:ascii="Times New Roman" w:hAnsi="Times New Roman"/>
          <w:b w:val="0"/>
          <w:color w:val="000000"/>
          <w:szCs w:val="28"/>
        </w:rPr>
        <w:t xml:space="preserve">‘Pirouette’ (v 2.7 and 3.1, Infometrix, </w:t>
      </w:r>
      <w:smartTag w:uri="urn:schemas-microsoft-com:office:smarttags" w:element="City">
        <w:r>
          <w:rPr>
            <w:rFonts w:ascii="Times New Roman" w:hAnsi="Times New Roman"/>
            <w:b w:val="0"/>
            <w:color w:val="000000"/>
            <w:szCs w:val="28"/>
          </w:rPr>
          <w:t>Woodinville</w:t>
        </w:r>
      </w:smartTag>
      <w:r>
        <w:rPr>
          <w:rFonts w:ascii="Times New Roman" w:hAnsi="Times New Roman"/>
          <w:b w:val="0"/>
          <w:color w:val="000000"/>
          <w:szCs w:val="28"/>
        </w:rPr>
        <w:t xml:space="preserve">, </w:t>
      </w:r>
      <w:smartTag w:uri="urn:schemas-microsoft-com:office:smarttags" w:element="State">
        <w:r>
          <w:rPr>
            <w:rFonts w:ascii="Times New Roman" w:hAnsi="Times New Roman"/>
            <w:b w:val="0"/>
            <w:color w:val="000000"/>
            <w:szCs w:val="28"/>
          </w:rPr>
          <w:t>WA</w:t>
        </w:r>
      </w:smartTag>
      <w:r>
        <w:rPr>
          <w:rFonts w:ascii="Times New Roman" w:hAnsi="Times New Roman"/>
          <w:b w:val="0"/>
          <w:color w:val="000000"/>
          <w:szCs w:val="28"/>
        </w:rPr>
        <w:t xml:space="preserve">, </w:t>
      </w:r>
      <w:smartTag w:uri="urn:schemas-microsoft-com:office:smarttags" w:element="country-region">
        <w:r>
          <w:rPr>
            <w:rFonts w:ascii="Times New Roman" w:hAnsi="Times New Roman"/>
            <w:b w:val="0"/>
            <w:color w:val="000000"/>
            <w:szCs w:val="28"/>
          </w:rPr>
          <w:t>USA</w:t>
        </w:r>
      </w:smartTag>
      <w:r>
        <w:rPr>
          <w:rFonts w:ascii="Times New Roman" w:hAnsi="Times New Roman"/>
          <w:b w:val="0"/>
          <w:color w:val="000000"/>
          <w:szCs w:val="28"/>
        </w:rPr>
        <w:t>) and ‘SIMCA P</w:t>
      </w:r>
      <w:r w:rsidR="00871195">
        <w:rPr>
          <w:rFonts w:ascii="Times New Roman" w:hAnsi="Times New Roman"/>
          <w:b w:val="0"/>
          <w:color w:val="000000"/>
          <w:szCs w:val="28"/>
        </w:rPr>
        <w:t>+</w:t>
      </w:r>
      <w:r>
        <w:rPr>
          <w:rFonts w:ascii="Times New Roman" w:hAnsi="Times New Roman"/>
          <w:b w:val="0"/>
          <w:color w:val="000000"/>
          <w:szCs w:val="28"/>
        </w:rPr>
        <w:t>’ (</w:t>
      </w:r>
      <w:r w:rsidR="00871195">
        <w:rPr>
          <w:rFonts w:ascii="Times New Roman" w:hAnsi="Times New Roman"/>
          <w:b w:val="0"/>
          <w:color w:val="000000"/>
          <w:szCs w:val="28"/>
        </w:rPr>
        <w:t xml:space="preserve">v. 10.0 and 10.5, </w:t>
      </w:r>
      <w:r>
        <w:rPr>
          <w:rFonts w:ascii="Times New Roman" w:hAnsi="Times New Roman"/>
          <w:b w:val="0"/>
          <w:color w:val="000000"/>
        </w:rPr>
        <w:t xml:space="preserve">Umetrics, </w:t>
      </w:r>
      <w:smartTag w:uri="urn:schemas-microsoft-com:office:smarttags" w:element="place">
        <w:smartTag w:uri="urn:schemas-microsoft-com:office:smarttags" w:element="City">
          <w:r>
            <w:rPr>
              <w:rFonts w:ascii="Times New Roman" w:hAnsi="Times New Roman"/>
              <w:b w:val="0"/>
              <w:color w:val="000000"/>
            </w:rPr>
            <w:t>Umeå</w:t>
          </w:r>
        </w:smartTag>
        <w:r>
          <w:rPr>
            <w:rFonts w:ascii="Times New Roman" w:hAnsi="Times New Roman"/>
            <w:b w:val="0"/>
            <w:color w:val="000000"/>
          </w:rPr>
          <w:t xml:space="preserve">, </w:t>
        </w:r>
        <w:smartTag w:uri="urn:schemas-microsoft-com:office:smarttags" w:element="country-region">
          <w:r>
            <w:rPr>
              <w:rFonts w:ascii="Times New Roman" w:hAnsi="Times New Roman"/>
              <w:b w:val="0"/>
              <w:color w:val="000000"/>
            </w:rPr>
            <w:t>Sweden</w:t>
          </w:r>
        </w:smartTag>
      </w:smartTag>
      <w:r>
        <w:rPr>
          <w:rFonts w:ascii="Times New Roman" w:hAnsi="Times New Roman"/>
          <w:b w:val="0"/>
          <w:color w:val="000000"/>
        </w:rPr>
        <w:t>) software was used.</w:t>
      </w:r>
      <w:r>
        <w:rPr>
          <w:rFonts w:ascii="Times New Roman" w:hAnsi="Times New Roman"/>
          <w:b w:val="0"/>
          <w:color w:val="000000"/>
          <w:szCs w:val="28"/>
        </w:rPr>
        <w:t xml:space="preserve">   </w:t>
      </w:r>
      <w:r>
        <w:rPr>
          <w:rFonts w:ascii="Times New Roman" w:hAnsi="Times New Roman"/>
          <w:b w:val="0"/>
          <w:color w:val="000000"/>
        </w:rPr>
        <w:t>After initial investigations, three animals were excluded from all of the subsequent modelling because of abnormal pre- or post-dose</w:t>
      </w:r>
      <w:r w:rsidR="00C666F6">
        <w:rPr>
          <w:rFonts w:ascii="Times New Roman" w:hAnsi="Times New Roman"/>
          <w:b w:val="0"/>
          <w:color w:val="000000"/>
        </w:rPr>
        <w:t xml:space="preserve"> behaviour</w:t>
      </w:r>
      <w:r>
        <w:rPr>
          <w:rFonts w:ascii="Times New Roman" w:hAnsi="Times New Roman"/>
          <w:b w:val="0"/>
          <w:color w:val="000000"/>
        </w:rPr>
        <w:t>.  The predictive multivariate modelling was carried out in SIMCA with, a supervised pattern recognition method, Projection to Latent Structure (PLS) being used to model the co-variation between the NMR-derived pre-dose data (X) and the selected post-dose response variables (Y).  Model validation was performed as described in the supplementary information.</w:t>
      </w:r>
      <w:r>
        <w:rPr>
          <w:rFonts w:ascii="Times New Roman" w:hAnsi="Times New Roman"/>
          <w:b w:val="0"/>
        </w:rPr>
        <w:t xml:space="preserve">  The </w:t>
      </w:r>
      <w:r>
        <w:rPr>
          <w:rFonts w:ascii="Times New Roman" w:hAnsi="Times New Roman"/>
          <w:b w:val="0"/>
          <w:color w:val="000000"/>
        </w:rPr>
        <w:t xml:space="preserve">VIP (Variable Influence on Projection) values characterise the relative overall importance of the individual X variables to the model whilst the weights for each component of the model reveal the nature of the relationship between each individual X variable and the predicted quantity, Y.  In the predictive modelling of the </w:t>
      </w:r>
      <w:r>
        <w:rPr>
          <w:rFonts w:ascii="Times New Roman" w:hAnsi="Times New Roman"/>
          <w:color w:val="000000"/>
          <w:szCs w:val="28"/>
        </w:rPr>
        <w:lastRenderedPageBreak/>
        <w:t xml:space="preserve">G/P </w:t>
      </w:r>
      <w:r>
        <w:rPr>
          <w:rFonts w:ascii="Times New Roman" w:hAnsi="Times New Roman"/>
          <w:b w:val="0"/>
          <w:color w:val="000000"/>
        </w:rPr>
        <w:t xml:space="preserve">mole ratio, total area normalised pre-dose spectral data were used with unit variance variable scaling.  An unsupervised pattern recognition method, Principal Components Analysis (PCA) was also </w:t>
      </w:r>
      <w:r w:rsidR="00086273">
        <w:rPr>
          <w:rFonts w:ascii="Times New Roman" w:hAnsi="Times New Roman"/>
          <w:b w:val="0"/>
          <w:color w:val="000000"/>
        </w:rPr>
        <w:t>employed</w:t>
      </w:r>
      <w:r>
        <w:rPr>
          <w:rFonts w:ascii="Times New Roman" w:hAnsi="Times New Roman"/>
          <w:b w:val="0"/>
          <w:color w:val="000000"/>
        </w:rPr>
        <w:t xml:space="preserve">.  The histology-coded PCA was performed, in Pirouette, on the pre-dose spectral data normalised to constant total spectra area, with mean-centred variable scaling and with the histology class of each animal assigned as described in Table 1.  The relevant loadings describe </w:t>
      </w:r>
      <w:r w:rsidR="00871195">
        <w:rPr>
          <w:rFonts w:ascii="Times New Roman" w:hAnsi="Times New Roman"/>
          <w:b w:val="0"/>
          <w:color w:val="000000"/>
        </w:rPr>
        <w:t xml:space="preserve">how </w:t>
      </w:r>
      <w:r>
        <w:rPr>
          <w:rFonts w:ascii="Times New Roman" w:hAnsi="Times New Roman"/>
          <w:b w:val="0"/>
          <w:color w:val="000000"/>
        </w:rPr>
        <w:t xml:space="preserve">the </w:t>
      </w:r>
      <w:r w:rsidR="00CA3478">
        <w:rPr>
          <w:rFonts w:ascii="Times New Roman" w:hAnsi="Times New Roman"/>
          <w:b w:val="0"/>
          <w:color w:val="000000"/>
        </w:rPr>
        <w:t xml:space="preserve">original </w:t>
      </w:r>
      <w:r>
        <w:rPr>
          <w:rFonts w:ascii="Times New Roman" w:hAnsi="Times New Roman"/>
          <w:b w:val="0"/>
          <w:color w:val="000000"/>
        </w:rPr>
        <w:t>variable</w:t>
      </w:r>
      <w:r w:rsidR="00871195">
        <w:rPr>
          <w:rFonts w:ascii="Times New Roman" w:hAnsi="Times New Roman"/>
          <w:b w:val="0"/>
          <w:color w:val="000000"/>
        </w:rPr>
        <w:t>s contribute</w:t>
      </w:r>
      <w:r>
        <w:rPr>
          <w:rFonts w:ascii="Times New Roman" w:hAnsi="Times New Roman"/>
          <w:b w:val="0"/>
          <w:color w:val="000000"/>
        </w:rPr>
        <w:t xml:space="preserve"> to </w:t>
      </w:r>
      <w:r w:rsidR="00E400A2">
        <w:rPr>
          <w:rFonts w:ascii="Times New Roman" w:hAnsi="Times New Roman"/>
          <w:b w:val="0"/>
          <w:color w:val="000000"/>
        </w:rPr>
        <w:t>each</w:t>
      </w:r>
      <w:r>
        <w:rPr>
          <w:rFonts w:ascii="Times New Roman" w:hAnsi="Times New Roman"/>
          <w:b w:val="0"/>
          <w:color w:val="000000"/>
        </w:rPr>
        <w:t xml:space="preserve"> principal component. </w:t>
      </w:r>
    </w:p>
    <w:p w:rsidR="00D5258A" w:rsidRDefault="00D5258A">
      <w:pPr>
        <w:pStyle w:val="BodyText2"/>
        <w:spacing w:line="480" w:lineRule="auto"/>
        <w:jc w:val="both"/>
        <w:rPr>
          <w:rFonts w:ascii="Times New Roman" w:hAnsi="Times New Roman"/>
          <w:b w:val="0"/>
          <w:color w:val="000000"/>
        </w:rPr>
      </w:pPr>
      <w:proofErr w:type="gramStart"/>
      <w:r>
        <w:rPr>
          <w:rFonts w:ascii="Times New Roman" w:hAnsi="Times New Roman"/>
          <w:color w:val="000000"/>
        </w:rPr>
        <w:t>Univariate</w:t>
      </w:r>
      <w:r w:rsidR="00086273">
        <w:rPr>
          <w:rFonts w:ascii="Times New Roman" w:hAnsi="Times New Roman"/>
          <w:color w:val="000000"/>
        </w:rPr>
        <w:t xml:space="preserve"> </w:t>
      </w:r>
      <w:r>
        <w:rPr>
          <w:rFonts w:ascii="Times New Roman" w:hAnsi="Times New Roman"/>
          <w:color w:val="000000"/>
        </w:rPr>
        <w:t>statistical analysis and test of correlation.</w:t>
      </w:r>
      <w:proofErr w:type="gramEnd"/>
      <w:r>
        <w:rPr>
          <w:rFonts w:ascii="Times New Roman" w:hAnsi="Times New Roman"/>
          <w:color w:val="000000"/>
        </w:rPr>
        <w:t xml:space="preserve">  </w:t>
      </w:r>
      <w:r>
        <w:rPr>
          <w:rFonts w:ascii="Times New Roman" w:hAnsi="Times New Roman"/>
          <w:b w:val="0"/>
          <w:color w:val="000000"/>
        </w:rPr>
        <w:t>All significance tests were 2-sided.</w:t>
      </w:r>
      <w:r>
        <w:rPr>
          <w:rFonts w:ascii="Times New Roman" w:hAnsi="Times New Roman"/>
          <w:color w:val="000000"/>
        </w:rPr>
        <w:t xml:space="preserve">  </w:t>
      </w:r>
      <w:r>
        <w:rPr>
          <w:rFonts w:ascii="Times New Roman" w:hAnsi="Times New Roman"/>
          <w:b w:val="0"/>
          <w:color w:val="000000"/>
        </w:rPr>
        <w:t>See supplementary information for details.</w:t>
      </w:r>
    </w:p>
    <w:p w:rsidR="00D5258A" w:rsidRDefault="00D5258A">
      <w:pPr>
        <w:pStyle w:val="BodyText2"/>
        <w:spacing w:line="480" w:lineRule="auto"/>
        <w:jc w:val="both"/>
        <w:rPr>
          <w:rFonts w:ascii="Times New Roman" w:hAnsi="Times New Roman"/>
          <w:b w:val="0"/>
          <w:color w:val="000000"/>
        </w:rPr>
      </w:pP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Spear, B.B., Heath-Chiozzi, M. and Huff, J. Clinical application of pharmacogenetics.  </w:t>
      </w:r>
      <w:r>
        <w:rPr>
          <w:rFonts w:ascii="Times New Roman" w:hAnsi="Times New Roman"/>
          <w:b w:val="0"/>
          <w:i/>
          <w:color w:val="000000"/>
          <w:sz w:val="28"/>
          <w:szCs w:val="28"/>
        </w:rPr>
        <w:t>Trends Mol. Med.</w:t>
      </w:r>
      <w:r>
        <w:rPr>
          <w:rFonts w:ascii="Times New Roman" w:hAnsi="Times New Roman"/>
          <w:b w:val="0"/>
          <w:color w:val="000000"/>
          <w:sz w:val="28"/>
        </w:rPr>
        <w:t xml:space="preserve"> </w:t>
      </w:r>
      <w:r>
        <w:rPr>
          <w:rFonts w:ascii="Times New Roman" w:hAnsi="Times New Roman"/>
          <w:color w:val="000000"/>
          <w:sz w:val="28"/>
          <w:szCs w:val="28"/>
        </w:rPr>
        <w:t>7</w:t>
      </w:r>
      <w:r>
        <w:rPr>
          <w:rFonts w:ascii="Times New Roman" w:hAnsi="Times New Roman"/>
          <w:b w:val="0"/>
          <w:color w:val="000000"/>
          <w:sz w:val="28"/>
        </w:rPr>
        <w:t>, 201-204 (2001).</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Pagliarulo, V., Datar, R.H. and Cole, R.J. Role of genetic and expression profiling in pharmacogenomics: the changing face of patient management.  </w:t>
      </w:r>
      <w:r>
        <w:rPr>
          <w:rFonts w:ascii="Times New Roman" w:hAnsi="Times New Roman"/>
          <w:b w:val="0"/>
          <w:i/>
          <w:color w:val="000000"/>
          <w:sz w:val="28"/>
        </w:rPr>
        <w:t>Curr. Issues Mol. Biol.</w:t>
      </w:r>
      <w:r>
        <w:rPr>
          <w:rFonts w:ascii="Times New Roman" w:hAnsi="Times New Roman"/>
          <w:b w:val="0"/>
          <w:color w:val="000000"/>
          <w:sz w:val="28"/>
        </w:rPr>
        <w:t xml:space="preserve"> </w:t>
      </w:r>
      <w:r>
        <w:rPr>
          <w:rFonts w:ascii="Times New Roman" w:hAnsi="Times New Roman"/>
          <w:color w:val="000000"/>
          <w:sz w:val="28"/>
          <w:szCs w:val="28"/>
        </w:rPr>
        <w:t>4</w:t>
      </w:r>
      <w:r>
        <w:rPr>
          <w:rFonts w:ascii="Times New Roman" w:hAnsi="Times New Roman"/>
          <w:b w:val="0"/>
          <w:color w:val="000000"/>
          <w:sz w:val="28"/>
        </w:rPr>
        <w:t>, 101-110 (2002).</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Ingelman-Sundberg, M. Genetic variability in susceptibility and response to toxicants. </w:t>
      </w:r>
      <w:r>
        <w:rPr>
          <w:rFonts w:ascii="Times New Roman" w:hAnsi="Times New Roman"/>
          <w:b w:val="0"/>
          <w:i/>
          <w:color w:val="000000"/>
          <w:sz w:val="28"/>
        </w:rPr>
        <w:t>Toxicol. Lett.</w:t>
      </w:r>
      <w:r>
        <w:rPr>
          <w:rFonts w:ascii="Times New Roman" w:hAnsi="Times New Roman"/>
          <w:b w:val="0"/>
          <w:color w:val="000000"/>
          <w:sz w:val="28"/>
        </w:rPr>
        <w:t xml:space="preserve"> </w:t>
      </w:r>
      <w:r>
        <w:rPr>
          <w:rFonts w:ascii="Times New Roman" w:hAnsi="Times New Roman"/>
          <w:color w:val="000000"/>
          <w:sz w:val="28"/>
        </w:rPr>
        <w:t>120</w:t>
      </w:r>
      <w:r>
        <w:rPr>
          <w:rFonts w:ascii="Times New Roman" w:hAnsi="Times New Roman"/>
          <w:b w:val="0"/>
          <w:color w:val="000000"/>
          <w:sz w:val="28"/>
        </w:rPr>
        <w:t>, 259-268 (2001).</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Nebert, D.W., Jorge-Nebert, L. and Vesell, E.S. Pharmacogenomics and “individualized drug therapy”: high expectations and disappointing achievements. </w:t>
      </w:r>
      <w:r>
        <w:rPr>
          <w:rFonts w:ascii="Times New Roman" w:hAnsi="Times New Roman"/>
          <w:b w:val="0"/>
          <w:i/>
          <w:color w:val="000000"/>
          <w:sz w:val="28"/>
        </w:rPr>
        <w:t>Am. J. Pharmacogenomics</w:t>
      </w:r>
      <w:r>
        <w:rPr>
          <w:rFonts w:ascii="Times New Roman" w:hAnsi="Times New Roman"/>
          <w:b w:val="0"/>
          <w:color w:val="000000"/>
          <w:sz w:val="28"/>
        </w:rPr>
        <w:t xml:space="preserve"> </w:t>
      </w:r>
      <w:r>
        <w:rPr>
          <w:rFonts w:ascii="Times New Roman" w:hAnsi="Times New Roman"/>
          <w:color w:val="000000"/>
          <w:sz w:val="28"/>
        </w:rPr>
        <w:t>3</w:t>
      </w:r>
      <w:r>
        <w:rPr>
          <w:rFonts w:ascii="Times New Roman" w:hAnsi="Times New Roman"/>
          <w:b w:val="0"/>
          <w:color w:val="000000"/>
          <w:sz w:val="28"/>
        </w:rPr>
        <w:t>, 361-370 (2003).</w:t>
      </w:r>
    </w:p>
    <w:p w:rsidR="00D5258A" w:rsidRDefault="00D5258A">
      <w:pPr>
        <w:pStyle w:val="BodyText"/>
        <w:numPr>
          <w:ilvl w:val="0"/>
          <w:numId w:val="1"/>
        </w:numPr>
        <w:spacing w:line="480" w:lineRule="auto"/>
        <w:ind w:right="98"/>
        <w:jc w:val="both"/>
        <w:rPr>
          <w:rFonts w:ascii="Times New Roman" w:hAnsi="Times New Roman"/>
          <w:b w:val="0"/>
          <w:color w:val="000000"/>
          <w:sz w:val="28"/>
        </w:rPr>
      </w:pPr>
      <w:proofErr w:type="gramStart"/>
      <w:r>
        <w:rPr>
          <w:rFonts w:ascii="Times New Roman" w:hAnsi="Times New Roman"/>
          <w:b w:val="0"/>
          <w:color w:val="000000"/>
          <w:sz w:val="28"/>
        </w:rPr>
        <w:t>van</w:t>
      </w:r>
      <w:proofErr w:type="gramEnd"/>
      <w:r>
        <w:rPr>
          <w:rFonts w:ascii="Times New Roman" w:hAnsi="Times New Roman"/>
          <w:b w:val="0"/>
          <w:color w:val="000000"/>
          <w:sz w:val="28"/>
        </w:rPr>
        <w:t xml:space="preserve"> Aken, J., Schmedders, M., Feuerstein, G. and Kollek., R. Prospects and limits of pharmacogenetics: the thiopurine methyl transferase (TPMT) experience.  </w:t>
      </w:r>
      <w:r>
        <w:rPr>
          <w:rFonts w:ascii="Times New Roman" w:hAnsi="Times New Roman"/>
          <w:b w:val="0"/>
          <w:i/>
          <w:color w:val="000000"/>
          <w:sz w:val="28"/>
        </w:rPr>
        <w:t>Am. J. Pharmacogenomics</w:t>
      </w:r>
      <w:r>
        <w:rPr>
          <w:rFonts w:ascii="Times New Roman" w:hAnsi="Times New Roman"/>
          <w:b w:val="0"/>
          <w:color w:val="000000"/>
          <w:sz w:val="28"/>
        </w:rPr>
        <w:t xml:space="preserve"> </w:t>
      </w:r>
      <w:r>
        <w:rPr>
          <w:rFonts w:ascii="Times New Roman" w:hAnsi="Times New Roman"/>
          <w:color w:val="000000"/>
          <w:sz w:val="28"/>
        </w:rPr>
        <w:t>3</w:t>
      </w:r>
      <w:r>
        <w:rPr>
          <w:rFonts w:ascii="Times New Roman" w:hAnsi="Times New Roman"/>
          <w:b w:val="0"/>
          <w:color w:val="000000"/>
          <w:sz w:val="28"/>
        </w:rPr>
        <w:t>, 149-155 (2003).</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lastRenderedPageBreak/>
        <w:t xml:space="preserve">Rang, H.P., Dale, M.M. and Ritter, J.M. </w:t>
      </w:r>
      <w:r>
        <w:rPr>
          <w:rFonts w:ascii="Times New Roman" w:hAnsi="Times New Roman"/>
          <w:b w:val="0"/>
          <w:i/>
          <w:color w:val="000000"/>
          <w:sz w:val="28"/>
        </w:rPr>
        <w:t>Pharmacology</w:t>
      </w:r>
      <w:r>
        <w:rPr>
          <w:rFonts w:ascii="Times New Roman" w:hAnsi="Times New Roman"/>
          <w:b w:val="0"/>
          <w:color w:val="000000"/>
          <w:sz w:val="28"/>
        </w:rPr>
        <w:t xml:space="preserve"> (Churchill Livingstone, Edinburgh, 1995).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Tannock, G.W. </w:t>
      </w:r>
      <w:r>
        <w:rPr>
          <w:rFonts w:ascii="Times New Roman" w:hAnsi="Times New Roman"/>
          <w:b w:val="0"/>
          <w:i/>
          <w:color w:val="000000"/>
          <w:sz w:val="28"/>
        </w:rPr>
        <w:t>Normal Microflora. An introduction to microbes inhabiting the human body</w:t>
      </w:r>
      <w:r>
        <w:rPr>
          <w:rFonts w:ascii="Times New Roman" w:hAnsi="Times New Roman"/>
          <w:b w:val="0"/>
          <w:color w:val="000000"/>
          <w:sz w:val="28"/>
        </w:rPr>
        <w:t xml:space="preserve"> (Chapman and Hall, London, 1995).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Nicholson, J.K., Lindon, J.C. and Holmes, E. ‘Metabonomics’: understanding the metabolic responses of living systems to pathophysiological stimuli </w:t>
      </w:r>
      <w:r>
        <w:rPr>
          <w:rFonts w:ascii="Times New Roman" w:hAnsi="Times New Roman"/>
          <w:b w:val="0"/>
          <w:i/>
          <w:color w:val="000000"/>
          <w:sz w:val="28"/>
        </w:rPr>
        <w:t>via</w:t>
      </w:r>
      <w:r>
        <w:rPr>
          <w:rFonts w:ascii="Times New Roman" w:hAnsi="Times New Roman"/>
          <w:b w:val="0"/>
          <w:color w:val="000000"/>
          <w:sz w:val="28"/>
        </w:rPr>
        <w:t xml:space="preserve"> multivariate statistical analysis of biological NMR data. </w:t>
      </w:r>
      <w:r>
        <w:rPr>
          <w:rFonts w:ascii="Times New Roman" w:hAnsi="Times New Roman"/>
          <w:b w:val="0"/>
          <w:i/>
          <w:color w:val="000000"/>
          <w:sz w:val="28"/>
        </w:rPr>
        <w:t>Xenobiotica</w:t>
      </w:r>
      <w:r>
        <w:rPr>
          <w:rFonts w:ascii="Times New Roman" w:hAnsi="Times New Roman"/>
          <w:i/>
          <w:color w:val="000000"/>
          <w:sz w:val="28"/>
        </w:rPr>
        <w:t xml:space="preserve"> </w:t>
      </w:r>
      <w:r>
        <w:rPr>
          <w:rFonts w:ascii="Times New Roman" w:hAnsi="Times New Roman"/>
          <w:color w:val="000000"/>
          <w:sz w:val="28"/>
        </w:rPr>
        <w:t>29</w:t>
      </w:r>
      <w:r>
        <w:rPr>
          <w:rFonts w:ascii="Times New Roman" w:hAnsi="Times New Roman"/>
          <w:b w:val="0"/>
          <w:color w:val="000000"/>
          <w:sz w:val="28"/>
        </w:rPr>
        <w:t>, 1181-1189 (1999).</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Lindon, J.C., Nicholson, J.K., Holmes, E. and </w:t>
      </w:r>
      <w:smartTag w:uri="urn:schemas-microsoft-com:office:smarttags" w:element="City">
        <w:smartTag w:uri="urn:schemas-microsoft-com:office:smarttags" w:element="place">
          <w:r>
            <w:rPr>
              <w:rFonts w:ascii="Times New Roman" w:hAnsi="Times New Roman"/>
              <w:b w:val="0"/>
              <w:color w:val="000000"/>
              <w:sz w:val="28"/>
            </w:rPr>
            <w:t>Everett</w:t>
          </w:r>
        </w:smartTag>
      </w:smartTag>
      <w:r>
        <w:rPr>
          <w:rFonts w:ascii="Times New Roman" w:hAnsi="Times New Roman"/>
          <w:b w:val="0"/>
          <w:color w:val="000000"/>
          <w:sz w:val="28"/>
        </w:rPr>
        <w:t xml:space="preserve">, J.R.  Metabonomics: metabolic processes studied by NMR spectroscopy of biofluids combined with pattern recognition.  </w:t>
      </w:r>
      <w:r>
        <w:rPr>
          <w:rFonts w:ascii="Times New Roman" w:hAnsi="Times New Roman"/>
          <w:b w:val="0"/>
          <w:i/>
          <w:color w:val="000000"/>
          <w:sz w:val="28"/>
        </w:rPr>
        <w:t>Concept. Magn. Reson.</w:t>
      </w:r>
      <w:r>
        <w:rPr>
          <w:rFonts w:ascii="Times New Roman" w:hAnsi="Times New Roman"/>
          <w:b w:val="0"/>
          <w:color w:val="000000"/>
          <w:sz w:val="28"/>
        </w:rPr>
        <w:t xml:space="preserve"> </w:t>
      </w:r>
      <w:r>
        <w:rPr>
          <w:rFonts w:ascii="Times New Roman" w:hAnsi="Times New Roman"/>
          <w:color w:val="000000"/>
          <w:sz w:val="28"/>
        </w:rPr>
        <w:t>12</w:t>
      </w:r>
      <w:r>
        <w:rPr>
          <w:rFonts w:ascii="Times New Roman" w:hAnsi="Times New Roman"/>
          <w:b w:val="0"/>
          <w:color w:val="000000"/>
          <w:sz w:val="28"/>
        </w:rPr>
        <w:t>, 289-320 (2000).</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Nicholson, J.K., Connelly, J., Lindon, J.C. and Holmes, E. Metabonomics a platform for studying drug toxicity and gene function. (2002) </w:t>
      </w:r>
      <w:r>
        <w:rPr>
          <w:rFonts w:ascii="Times New Roman" w:hAnsi="Times New Roman"/>
          <w:b w:val="0"/>
          <w:i/>
          <w:color w:val="000000"/>
          <w:sz w:val="28"/>
        </w:rPr>
        <w:t>Nat. Rev. Drug Discov.</w:t>
      </w:r>
      <w:r>
        <w:rPr>
          <w:rFonts w:ascii="Times New Roman" w:hAnsi="Times New Roman"/>
          <w:b w:val="0"/>
          <w:color w:val="000000"/>
          <w:sz w:val="28"/>
        </w:rPr>
        <w:t xml:space="preserve"> </w:t>
      </w:r>
      <w:r>
        <w:rPr>
          <w:rFonts w:ascii="Times New Roman" w:hAnsi="Times New Roman"/>
          <w:color w:val="000000"/>
          <w:sz w:val="28"/>
        </w:rPr>
        <w:t>1</w:t>
      </w:r>
      <w:r>
        <w:rPr>
          <w:rFonts w:ascii="Times New Roman" w:hAnsi="Times New Roman"/>
          <w:b w:val="0"/>
          <w:color w:val="000000"/>
          <w:sz w:val="28"/>
        </w:rPr>
        <w:t>, 153-161(2002).</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Nicholson, J.K. and </w:t>
      </w:r>
      <w:smartTag w:uri="urn:schemas-microsoft-com:office:smarttags" w:element="City">
        <w:smartTag w:uri="urn:schemas-microsoft-com:office:smarttags" w:element="place">
          <w:r>
            <w:rPr>
              <w:rFonts w:ascii="Times New Roman" w:hAnsi="Times New Roman"/>
              <w:b w:val="0"/>
              <w:color w:val="000000"/>
              <w:sz w:val="28"/>
            </w:rPr>
            <w:t>Wilson</w:t>
          </w:r>
        </w:smartTag>
      </w:smartTag>
      <w:r>
        <w:rPr>
          <w:rFonts w:ascii="Times New Roman" w:hAnsi="Times New Roman"/>
          <w:b w:val="0"/>
          <w:color w:val="000000"/>
          <w:sz w:val="28"/>
        </w:rPr>
        <w:t xml:space="preserve">, I.D. Understanding ‘global’ systems biology: metabonomics and the continuum of metabolism. </w:t>
      </w:r>
      <w:r>
        <w:rPr>
          <w:rFonts w:ascii="Times New Roman" w:hAnsi="Times New Roman"/>
          <w:b w:val="0"/>
          <w:i/>
          <w:color w:val="000000"/>
          <w:sz w:val="28"/>
        </w:rPr>
        <w:t>Nat. Rev. Drug Discov.</w:t>
      </w:r>
      <w:r>
        <w:rPr>
          <w:rFonts w:ascii="Times New Roman" w:hAnsi="Times New Roman"/>
          <w:b w:val="0"/>
          <w:color w:val="000000"/>
          <w:sz w:val="28"/>
        </w:rPr>
        <w:t xml:space="preserve"> </w:t>
      </w:r>
      <w:r>
        <w:rPr>
          <w:rFonts w:ascii="Times New Roman" w:hAnsi="Times New Roman"/>
          <w:color w:val="000000"/>
          <w:sz w:val="28"/>
        </w:rPr>
        <w:t>2</w:t>
      </w:r>
      <w:r>
        <w:rPr>
          <w:rFonts w:ascii="Times New Roman" w:hAnsi="Times New Roman"/>
          <w:b w:val="0"/>
          <w:color w:val="000000"/>
          <w:sz w:val="28"/>
        </w:rPr>
        <w:t>, 668-676 (2003).</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Lindon, J.C. </w:t>
      </w:r>
      <w:r>
        <w:rPr>
          <w:rFonts w:ascii="Times New Roman" w:hAnsi="Times New Roman"/>
          <w:b w:val="0"/>
          <w:i/>
          <w:color w:val="000000"/>
          <w:sz w:val="28"/>
          <w:szCs w:val="28"/>
        </w:rPr>
        <w:t>et al.</w:t>
      </w:r>
      <w:r>
        <w:rPr>
          <w:rFonts w:ascii="Times New Roman" w:hAnsi="Times New Roman"/>
          <w:b w:val="0"/>
          <w:color w:val="000000"/>
          <w:sz w:val="28"/>
        </w:rPr>
        <w:t xml:space="preserve">  The Consortium for Metabonomic Toxicology (COMET): aims, activities and achievements.  </w:t>
      </w:r>
      <w:r>
        <w:rPr>
          <w:rFonts w:ascii="Times New Roman" w:hAnsi="Times New Roman"/>
          <w:b w:val="0"/>
          <w:i/>
          <w:color w:val="000000"/>
          <w:sz w:val="28"/>
          <w:szCs w:val="28"/>
        </w:rPr>
        <w:t>Pharmacogenomics</w:t>
      </w:r>
      <w:r>
        <w:rPr>
          <w:rFonts w:ascii="Times New Roman" w:hAnsi="Times New Roman"/>
          <w:b w:val="0"/>
          <w:color w:val="000000"/>
          <w:sz w:val="28"/>
        </w:rPr>
        <w:t xml:space="preserve">, </w:t>
      </w:r>
      <w:r>
        <w:rPr>
          <w:rFonts w:ascii="Times New Roman" w:hAnsi="Times New Roman"/>
          <w:color w:val="000000"/>
          <w:sz w:val="28"/>
          <w:szCs w:val="28"/>
        </w:rPr>
        <w:t>6</w:t>
      </w:r>
      <w:r>
        <w:rPr>
          <w:rFonts w:ascii="Times New Roman" w:hAnsi="Times New Roman"/>
          <w:b w:val="0"/>
          <w:color w:val="000000"/>
          <w:sz w:val="28"/>
        </w:rPr>
        <w:t>, 691-699 (2005).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Shockcor, J.P and Holmes, E.  Metabonomic applications in toxicity screening and disease diagnosis</w:t>
      </w:r>
      <w:r>
        <w:rPr>
          <w:rFonts w:ascii="Times New Roman" w:hAnsi="Times New Roman"/>
          <w:b w:val="0"/>
          <w:i/>
          <w:color w:val="000000"/>
          <w:sz w:val="28"/>
        </w:rPr>
        <w:t>.  Curr. Top. Med. Chem</w:t>
      </w:r>
      <w:r>
        <w:rPr>
          <w:rFonts w:ascii="Times New Roman" w:hAnsi="Times New Roman"/>
          <w:b w:val="0"/>
          <w:color w:val="000000"/>
          <w:sz w:val="28"/>
        </w:rPr>
        <w:t xml:space="preserve">. </w:t>
      </w:r>
      <w:r>
        <w:rPr>
          <w:rFonts w:ascii="Times New Roman" w:hAnsi="Times New Roman"/>
          <w:color w:val="000000"/>
          <w:sz w:val="28"/>
        </w:rPr>
        <w:t>2</w:t>
      </w:r>
      <w:r>
        <w:rPr>
          <w:rFonts w:ascii="Times New Roman" w:hAnsi="Times New Roman"/>
          <w:b w:val="0"/>
          <w:color w:val="000000"/>
          <w:sz w:val="28"/>
        </w:rPr>
        <w:t>, 35-51 (2002).</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Rawson, E.S., Clarkson, P.M., Price, T.B. and Miles, M.P. Differential response of muscle phosphocreatine to creatine supplementation in young and old subjects. </w:t>
      </w:r>
      <w:r>
        <w:rPr>
          <w:rFonts w:ascii="Times New Roman" w:hAnsi="Times New Roman"/>
          <w:b w:val="0"/>
          <w:i/>
          <w:color w:val="000000"/>
          <w:sz w:val="28"/>
        </w:rPr>
        <w:t>Acta. Physiol. Scand.</w:t>
      </w:r>
      <w:r>
        <w:rPr>
          <w:rFonts w:ascii="Times New Roman" w:hAnsi="Times New Roman"/>
          <w:b w:val="0"/>
          <w:color w:val="000000"/>
          <w:sz w:val="28"/>
        </w:rPr>
        <w:t xml:space="preserve"> </w:t>
      </w:r>
      <w:r>
        <w:rPr>
          <w:rFonts w:ascii="Times New Roman" w:hAnsi="Times New Roman"/>
          <w:color w:val="000000"/>
          <w:sz w:val="28"/>
        </w:rPr>
        <w:t>174</w:t>
      </w:r>
      <w:r>
        <w:rPr>
          <w:rFonts w:ascii="Times New Roman" w:hAnsi="Times New Roman"/>
          <w:b w:val="0"/>
          <w:color w:val="000000"/>
          <w:sz w:val="28"/>
        </w:rPr>
        <w:t>, 57-65 (2002).</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lastRenderedPageBreak/>
        <w:t xml:space="preserve">Zuppi, C. </w:t>
      </w:r>
      <w:r>
        <w:rPr>
          <w:rFonts w:ascii="Times New Roman" w:hAnsi="Times New Roman"/>
          <w:b w:val="0"/>
          <w:i/>
          <w:color w:val="000000"/>
          <w:sz w:val="28"/>
        </w:rPr>
        <w:t>et al.</w:t>
      </w:r>
      <w:r>
        <w:rPr>
          <w:rFonts w:ascii="Times New Roman" w:hAnsi="Times New Roman"/>
          <w:b w:val="0"/>
          <w:color w:val="000000"/>
          <w:sz w:val="28"/>
        </w:rPr>
        <w:t xml:space="preserve"> </w:t>
      </w:r>
      <w:r>
        <w:rPr>
          <w:rFonts w:ascii="Times New Roman" w:hAnsi="Times New Roman"/>
          <w:b w:val="0"/>
          <w:color w:val="000000"/>
          <w:sz w:val="28"/>
          <w:vertAlign w:val="superscript"/>
        </w:rPr>
        <w:t>1</w:t>
      </w:r>
      <w:r>
        <w:rPr>
          <w:rFonts w:ascii="Times New Roman" w:hAnsi="Times New Roman"/>
          <w:b w:val="0"/>
          <w:color w:val="000000"/>
          <w:sz w:val="28"/>
        </w:rPr>
        <w:t xml:space="preserve">H NMR spectra of normal urines: reference ranges of the major metabolites. </w:t>
      </w:r>
      <w:r>
        <w:rPr>
          <w:rFonts w:ascii="Times New Roman" w:hAnsi="Times New Roman"/>
          <w:b w:val="0"/>
          <w:i/>
          <w:color w:val="000000"/>
          <w:sz w:val="28"/>
        </w:rPr>
        <w:t>Clin. Chim. Acta</w:t>
      </w:r>
      <w:r>
        <w:rPr>
          <w:rFonts w:ascii="Times New Roman" w:hAnsi="Times New Roman"/>
          <w:b w:val="0"/>
          <w:color w:val="000000"/>
          <w:sz w:val="28"/>
        </w:rPr>
        <w:t xml:space="preserve"> </w:t>
      </w:r>
      <w:r>
        <w:rPr>
          <w:rFonts w:ascii="Times New Roman" w:hAnsi="Times New Roman"/>
          <w:color w:val="000000"/>
          <w:sz w:val="28"/>
        </w:rPr>
        <w:t>265</w:t>
      </w:r>
      <w:r>
        <w:rPr>
          <w:rFonts w:ascii="Times New Roman" w:hAnsi="Times New Roman"/>
          <w:b w:val="0"/>
          <w:color w:val="000000"/>
          <w:sz w:val="28"/>
        </w:rPr>
        <w:t>, 85-97 (1997)</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Zoratti, R. A review on ethnic differences in plasma triglycerides and high-density-lipoprotein cholesterol: is the lipid pattern the key factor for the low coronary heart disease rate in people of African origin?  </w:t>
      </w:r>
      <w:r>
        <w:rPr>
          <w:rFonts w:ascii="Times New Roman" w:hAnsi="Times New Roman"/>
          <w:b w:val="0"/>
          <w:i/>
          <w:color w:val="000000"/>
          <w:sz w:val="28"/>
        </w:rPr>
        <w:t>Eur. J. Epidemiol</w:t>
      </w:r>
      <w:r>
        <w:rPr>
          <w:rFonts w:ascii="Times New Roman" w:hAnsi="Times New Roman"/>
          <w:b w:val="0"/>
          <w:color w:val="000000"/>
          <w:sz w:val="28"/>
        </w:rPr>
        <w:t xml:space="preserve">. </w:t>
      </w:r>
      <w:r>
        <w:rPr>
          <w:rFonts w:ascii="Times New Roman" w:hAnsi="Times New Roman"/>
          <w:color w:val="000000"/>
          <w:sz w:val="28"/>
        </w:rPr>
        <w:t>14</w:t>
      </w:r>
      <w:r>
        <w:rPr>
          <w:rFonts w:ascii="Times New Roman" w:hAnsi="Times New Roman"/>
          <w:b w:val="0"/>
          <w:color w:val="000000"/>
          <w:sz w:val="28"/>
        </w:rPr>
        <w:t>, 9-21 (1998).</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Lenz. E.M. </w:t>
      </w:r>
      <w:r>
        <w:rPr>
          <w:rFonts w:ascii="Times New Roman" w:hAnsi="Times New Roman"/>
          <w:b w:val="0"/>
          <w:i/>
          <w:color w:val="000000"/>
          <w:sz w:val="28"/>
        </w:rPr>
        <w:t>et al.</w:t>
      </w:r>
      <w:r>
        <w:rPr>
          <w:rFonts w:ascii="Times New Roman" w:hAnsi="Times New Roman"/>
          <w:b w:val="0"/>
          <w:color w:val="000000"/>
          <w:sz w:val="28"/>
        </w:rPr>
        <w:t xml:space="preserve"> Metabonomics, dietary influences and cultural differences: a </w:t>
      </w:r>
      <w:r>
        <w:rPr>
          <w:rFonts w:ascii="Times New Roman" w:hAnsi="Times New Roman"/>
          <w:b w:val="0"/>
          <w:color w:val="000000"/>
          <w:sz w:val="28"/>
          <w:szCs w:val="28"/>
          <w:vertAlign w:val="superscript"/>
        </w:rPr>
        <w:t>1</w:t>
      </w:r>
      <w:r>
        <w:rPr>
          <w:rFonts w:ascii="Times New Roman" w:hAnsi="Times New Roman"/>
          <w:b w:val="0"/>
          <w:color w:val="000000"/>
          <w:sz w:val="28"/>
        </w:rPr>
        <w:t xml:space="preserve">H NMR-based study of urine samples obtained from healthy British and Swedish subjects. </w:t>
      </w:r>
      <w:r>
        <w:rPr>
          <w:rFonts w:ascii="Times New Roman" w:hAnsi="Times New Roman"/>
          <w:b w:val="0"/>
          <w:i/>
          <w:color w:val="000000"/>
          <w:sz w:val="28"/>
        </w:rPr>
        <w:t>J. Pharm. Biomed. Anal.</w:t>
      </w:r>
      <w:r>
        <w:rPr>
          <w:rFonts w:ascii="Times New Roman" w:hAnsi="Times New Roman"/>
          <w:b w:val="0"/>
          <w:color w:val="000000"/>
          <w:sz w:val="28"/>
        </w:rPr>
        <w:t xml:space="preserve"> </w:t>
      </w:r>
      <w:r>
        <w:rPr>
          <w:rFonts w:ascii="Times New Roman" w:hAnsi="Times New Roman"/>
          <w:color w:val="000000"/>
          <w:sz w:val="28"/>
        </w:rPr>
        <w:t>36</w:t>
      </w:r>
      <w:r>
        <w:rPr>
          <w:rFonts w:ascii="Times New Roman" w:hAnsi="Times New Roman"/>
          <w:b w:val="0"/>
          <w:color w:val="000000"/>
          <w:sz w:val="28"/>
        </w:rPr>
        <w:t>, 841-849 (2004).</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Waterfield, C.J., Turton, J.A., Scales, M.D.C. and Timbrell, J.A.  The correlation between urinary and liver taurine levels and between pre-dose urinary taurine and liver damage.  </w:t>
      </w:r>
      <w:r>
        <w:rPr>
          <w:rFonts w:ascii="Times New Roman" w:hAnsi="Times New Roman"/>
          <w:b w:val="0"/>
          <w:i/>
          <w:color w:val="000000"/>
          <w:sz w:val="28"/>
        </w:rPr>
        <w:t>Toxicology</w:t>
      </w:r>
      <w:r>
        <w:rPr>
          <w:rFonts w:ascii="Times New Roman" w:hAnsi="Times New Roman"/>
          <w:b w:val="0"/>
          <w:color w:val="000000"/>
          <w:sz w:val="28"/>
        </w:rPr>
        <w:t xml:space="preserve"> </w:t>
      </w:r>
      <w:r>
        <w:rPr>
          <w:rFonts w:ascii="Times New Roman" w:hAnsi="Times New Roman"/>
          <w:color w:val="000000"/>
          <w:sz w:val="28"/>
          <w:szCs w:val="28"/>
        </w:rPr>
        <w:t>77</w:t>
      </w:r>
      <w:r>
        <w:rPr>
          <w:rFonts w:ascii="Times New Roman" w:hAnsi="Times New Roman"/>
          <w:color w:val="000000"/>
          <w:sz w:val="28"/>
        </w:rPr>
        <w:t>,</w:t>
      </w:r>
      <w:r>
        <w:rPr>
          <w:rFonts w:ascii="Times New Roman" w:hAnsi="Times New Roman"/>
          <w:b w:val="0"/>
          <w:color w:val="000000"/>
          <w:sz w:val="28"/>
        </w:rPr>
        <w:t xml:space="preserve"> 1-5 (1993).</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Waters, E. </w:t>
      </w:r>
      <w:r>
        <w:rPr>
          <w:rFonts w:ascii="Times New Roman" w:hAnsi="Times New Roman"/>
          <w:b w:val="0"/>
          <w:i/>
          <w:color w:val="000000"/>
          <w:sz w:val="28"/>
        </w:rPr>
        <w:t>et al</w:t>
      </w:r>
      <w:r>
        <w:rPr>
          <w:rFonts w:ascii="Times New Roman" w:hAnsi="Times New Roman"/>
          <w:b w:val="0"/>
          <w:color w:val="000000"/>
          <w:sz w:val="28"/>
        </w:rPr>
        <w:t xml:space="preserve">. Role of taurine in preventing acetaminophen-induced hepatic injury in the rat.  </w:t>
      </w:r>
      <w:r>
        <w:rPr>
          <w:rFonts w:ascii="Times New Roman" w:hAnsi="Times New Roman"/>
          <w:b w:val="0"/>
          <w:i/>
          <w:color w:val="000000"/>
          <w:sz w:val="28"/>
        </w:rPr>
        <w:t>Am. J. Physiol.-Gastroint. Liver Physiol.</w:t>
      </w:r>
      <w:r>
        <w:rPr>
          <w:rFonts w:ascii="Times New Roman" w:hAnsi="Times New Roman"/>
          <w:b w:val="0"/>
          <w:color w:val="000000"/>
          <w:sz w:val="28"/>
        </w:rPr>
        <w:t xml:space="preserve"> </w:t>
      </w:r>
      <w:r>
        <w:rPr>
          <w:rFonts w:ascii="Times New Roman" w:hAnsi="Times New Roman"/>
          <w:color w:val="000000"/>
          <w:sz w:val="28"/>
        </w:rPr>
        <w:t>280</w:t>
      </w:r>
      <w:r>
        <w:rPr>
          <w:rFonts w:ascii="Times New Roman" w:hAnsi="Times New Roman"/>
          <w:b w:val="0"/>
          <w:color w:val="000000"/>
          <w:sz w:val="28"/>
        </w:rPr>
        <w:t>, G1274-G1279 (2001).</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Timbrell, J.A., Seabra, V. and Waterfield, C.J. The </w:t>
      </w:r>
      <w:r>
        <w:rPr>
          <w:rFonts w:ascii="Times New Roman" w:hAnsi="Times New Roman"/>
          <w:b w:val="0"/>
          <w:i/>
          <w:color w:val="000000"/>
          <w:sz w:val="28"/>
        </w:rPr>
        <w:t>in vivo</w:t>
      </w:r>
      <w:r>
        <w:rPr>
          <w:rFonts w:ascii="Times New Roman" w:hAnsi="Times New Roman"/>
          <w:b w:val="0"/>
          <w:color w:val="000000"/>
          <w:sz w:val="28"/>
        </w:rPr>
        <w:t xml:space="preserve"> and </w:t>
      </w:r>
      <w:r>
        <w:rPr>
          <w:rFonts w:ascii="Times New Roman" w:hAnsi="Times New Roman"/>
          <w:b w:val="0"/>
          <w:i/>
          <w:color w:val="000000"/>
          <w:sz w:val="28"/>
        </w:rPr>
        <w:t>in vitro</w:t>
      </w:r>
      <w:r>
        <w:rPr>
          <w:rFonts w:ascii="Times New Roman" w:hAnsi="Times New Roman"/>
          <w:b w:val="0"/>
          <w:color w:val="000000"/>
          <w:sz w:val="28"/>
        </w:rPr>
        <w:t xml:space="preserve"> protective properties of taurine.  </w:t>
      </w:r>
      <w:r>
        <w:rPr>
          <w:rFonts w:ascii="Times New Roman" w:hAnsi="Times New Roman"/>
          <w:b w:val="0"/>
          <w:i/>
          <w:color w:val="000000"/>
          <w:sz w:val="28"/>
        </w:rPr>
        <w:t>Gen. Pharmacol.</w:t>
      </w:r>
      <w:r>
        <w:rPr>
          <w:rFonts w:ascii="Times New Roman" w:hAnsi="Times New Roman"/>
          <w:b w:val="0"/>
          <w:color w:val="000000"/>
          <w:sz w:val="28"/>
        </w:rPr>
        <w:t xml:space="preserve"> </w:t>
      </w:r>
      <w:r>
        <w:rPr>
          <w:rFonts w:ascii="Times New Roman" w:hAnsi="Times New Roman"/>
          <w:color w:val="000000"/>
          <w:sz w:val="28"/>
        </w:rPr>
        <w:t>26</w:t>
      </w:r>
      <w:r>
        <w:rPr>
          <w:rFonts w:ascii="Times New Roman" w:hAnsi="Times New Roman"/>
          <w:b w:val="0"/>
          <w:color w:val="000000"/>
          <w:sz w:val="28"/>
        </w:rPr>
        <w:t>, 453-462 (1995).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Coomes, M.W. in </w:t>
      </w:r>
      <w:r>
        <w:rPr>
          <w:rFonts w:ascii="Times New Roman" w:hAnsi="Times New Roman"/>
          <w:b w:val="0"/>
          <w:i/>
          <w:color w:val="000000"/>
          <w:sz w:val="28"/>
        </w:rPr>
        <w:t>Textbook of Biochemistry with Clinical Correlations</w:t>
      </w:r>
      <w:r>
        <w:rPr>
          <w:rFonts w:ascii="Times New Roman" w:hAnsi="Times New Roman"/>
          <w:b w:val="0"/>
          <w:color w:val="000000"/>
          <w:sz w:val="28"/>
        </w:rPr>
        <w:t xml:space="preserve"> (</w:t>
      </w:r>
      <w:proofErr w:type="gramStart"/>
      <w:r>
        <w:rPr>
          <w:rFonts w:ascii="Times New Roman" w:hAnsi="Times New Roman"/>
          <w:b w:val="0"/>
          <w:color w:val="000000"/>
          <w:sz w:val="28"/>
        </w:rPr>
        <w:t>ed</w:t>
      </w:r>
      <w:proofErr w:type="gramEnd"/>
      <w:r>
        <w:rPr>
          <w:rFonts w:ascii="Times New Roman" w:hAnsi="Times New Roman"/>
          <w:b w:val="0"/>
          <w:color w:val="000000"/>
          <w:sz w:val="28"/>
        </w:rPr>
        <w:t xml:space="preserve"> Devlin, T.M.) 473-474 (Wiley-Liss, New York, 1997).</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Liu, L. and Klaassen, C.D. Different mechanisms of saturation of acetaminophen sulfate conjugation in mice and rats.  </w:t>
      </w:r>
      <w:r>
        <w:rPr>
          <w:rFonts w:ascii="Times New Roman" w:hAnsi="Times New Roman"/>
          <w:b w:val="0"/>
          <w:i/>
          <w:color w:val="000000"/>
          <w:sz w:val="28"/>
        </w:rPr>
        <w:t>Toxicol. App. Pharmacol</w:t>
      </w:r>
      <w:r>
        <w:rPr>
          <w:rFonts w:ascii="Times New Roman" w:hAnsi="Times New Roman"/>
          <w:b w:val="0"/>
          <w:color w:val="000000"/>
          <w:sz w:val="28"/>
        </w:rPr>
        <w:t xml:space="preserve">. </w:t>
      </w:r>
      <w:r>
        <w:rPr>
          <w:rFonts w:ascii="Times New Roman" w:hAnsi="Times New Roman"/>
          <w:color w:val="000000"/>
          <w:sz w:val="28"/>
        </w:rPr>
        <w:t>139</w:t>
      </w:r>
      <w:r>
        <w:rPr>
          <w:rFonts w:ascii="Times New Roman" w:hAnsi="Times New Roman"/>
          <w:b w:val="0"/>
          <w:color w:val="000000"/>
          <w:sz w:val="28"/>
        </w:rPr>
        <w:t>, 128-134 (1996).</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Smith, J.L., Wishnok, J.S. and Deen, W.M.  Metabolism and excretion of methylamines in rats.  </w:t>
      </w:r>
      <w:r>
        <w:rPr>
          <w:rFonts w:ascii="Times New Roman" w:hAnsi="Times New Roman"/>
          <w:b w:val="0"/>
          <w:i/>
          <w:color w:val="000000"/>
          <w:sz w:val="28"/>
          <w:szCs w:val="28"/>
        </w:rPr>
        <w:t>Toxicol. Appl. Pharmacol</w:t>
      </w:r>
      <w:r>
        <w:rPr>
          <w:rFonts w:ascii="Times New Roman" w:hAnsi="Times New Roman"/>
          <w:b w:val="0"/>
          <w:color w:val="000000"/>
          <w:sz w:val="28"/>
        </w:rPr>
        <w:t xml:space="preserve">. </w:t>
      </w:r>
      <w:r>
        <w:rPr>
          <w:rFonts w:ascii="Times New Roman" w:hAnsi="Times New Roman"/>
          <w:color w:val="000000"/>
          <w:sz w:val="28"/>
          <w:szCs w:val="28"/>
        </w:rPr>
        <w:t>125</w:t>
      </w:r>
      <w:r>
        <w:rPr>
          <w:rFonts w:ascii="Times New Roman" w:hAnsi="Times New Roman"/>
          <w:b w:val="0"/>
          <w:color w:val="000000"/>
          <w:sz w:val="28"/>
        </w:rPr>
        <w:t>, 296-308 (1994).</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lastRenderedPageBreak/>
        <w:t xml:space="preserve">Nicholls, A.W., Mortishire-Smith, R.J. and Nicholson, J.K.  NMR spectroscopic-based metabonomic studies of urinary metabolite variation in acclimatizing germ-free rats.  </w:t>
      </w:r>
      <w:r>
        <w:rPr>
          <w:rFonts w:ascii="Times New Roman" w:hAnsi="Times New Roman"/>
          <w:b w:val="0"/>
          <w:i/>
          <w:color w:val="000000"/>
          <w:sz w:val="28"/>
          <w:szCs w:val="28"/>
        </w:rPr>
        <w:t>Chem. Res. Toxicol.</w:t>
      </w:r>
      <w:r>
        <w:rPr>
          <w:rFonts w:ascii="Times New Roman" w:hAnsi="Times New Roman"/>
          <w:b w:val="0"/>
          <w:color w:val="000000"/>
          <w:sz w:val="28"/>
        </w:rPr>
        <w:t xml:space="preserve"> </w:t>
      </w:r>
      <w:r>
        <w:rPr>
          <w:rFonts w:ascii="Times New Roman" w:hAnsi="Times New Roman"/>
          <w:color w:val="000000"/>
          <w:sz w:val="28"/>
        </w:rPr>
        <w:t>16</w:t>
      </w:r>
      <w:r>
        <w:rPr>
          <w:rFonts w:ascii="Times New Roman" w:hAnsi="Times New Roman"/>
          <w:b w:val="0"/>
          <w:color w:val="000000"/>
          <w:sz w:val="28"/>
        </w:rPr>
        <w:t>, 1395-1404 (2003).</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Grant, D.M., Tang, B.K. and Kalow, W.  A simple test for acetylator phenotype using caffeine.  </w:t>
      </w:r>
      <w:r>
        <w:rPr>
          <w:rFonts w:ascii="Times New Roman" w:hAnsi="Times New Roman"/>
          <w:b w:val="0"/>
          <w:i/>
          <w:color w:val="000000"/>
          <w:sz w:val="28"/>
        </w:rPr>
        <w:t>Br. J. Clin. Pharmacol.</w:t>
      </w:r>
      <w:r>
        <w:rPr>
          <w:rFonts w:ascii="Times New Roman" w:hAnsi="Times New Roman"/>
          <w:b w:val="0"/>
          <w:color w:val="000000"/>
          <w:sz w:val="28"/>
        </w:rPr>
        <w:t xml:space="preserve"> </w:t>
      </w:r>
      <w:r>
        <w:rPr>
          <w:rFonts w:ascii="Times New Roman" w:hAnsi="Times New Roman"/>
          <w:color w:val="000000"/>
          <w:sz w:val="28"/>
        </w:rPr>
        <w:t>58</w:t>
      </w:r>
      <w:r>
        <w:rPr>
          <w:rFonts w:ascii="Times New Roman" w:hAnsi="Times New Roman"/>
          <w:b w:val="0"/>
          <w:color w:val="000000"/>
          <w:sz w:val="28"/>
        </w:rPr>
        <w:t>, S788-S793 (2004).</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Cloarec, O. </w:t>
      </w:r>
      <w:r>
        <w:rPr>
          <w:rFonts w:ascii="Times New Roman" w:hAnsi="Times New Roman"/>
          <w:b w:val="0"/>
          <w:i/>
          <w:color w:val="000000"/>
          <w:sz w:val="28"/>
          <w:szCs w:val="28"/>
        </w:rPr>
        <w:t>et al.</w:t>
      </w:r>
      <w:r>
        <w:rPr>
          <w:rFonts w:ascii="Times New Roman" w:hAnsi="Times New Roman"/>
          <w:b w:val="0"/>
          <w:color w:val="000000"/>
          <w:sz w:val="28"/>
        </w:rPr>
        <w:t xml:space="preserve">  Evaluation of the O-PLS limitations caused by chemical shift variability and improved visualization of biomarker changes in </w:t>
      </w:r>
      <w:r>
        <w:rPr>
          <w:rFonts w:ascii="Times New Roman" w:hAnsi="Times New Roman"/>
          <w:b w:val="0"/>
          <w:color w:val="000000"/>
          <w:sz w:val="28"/>
          <w:szCs w:val="28"/>
          <w:vertAlign w:val="superscript"/>
        </w:rPr>
        <w:t>1</w:t>
      </w:r>
      <w:r>
        <w:rPr>
          <w:rFonts w:ascii="Times New Roman" w:hAnsi="Times New Roman"/>
          <w:b w:val="0"/>
          <w:color w:val="000000"/>
          <w:sz w:val="28"/>
        </w:rPr>
        <w:t xml:space="preserve">H NMR spectroscopic metabonomic studies.  </w:t>
      </w:r>
      <w:r>
        <w:rPr>
          <w:rFonts w:ascii="Times New Roman" w:hAnsi="Times New Roman"/>
          <w:b w:val="0"/>
          <w:i/>
          <w:color w:val="000000"/>
          <w:sz w:val="28"/>
          <w:szCs w:val="28"/>
        </w:rPr>
        <w:t>Anal. Chem.</w:t>
      </w:r>
      <w:r>
        <w:rPr>
          <w:rFonts w:ascii="Times New Roman" w:hAnsi="Times New Roman"/>
          <w:b w:val="0"/>
          <w:color w:val="000000"/>
          <w:sz w:val="28"/>
        </w:rPr>
        <w:t xml:space="preserve"> </w:t>
      </w:r>
      <w:r>
        <w:rPr>
          <w:rFonts w:ascii="Times New Roman" w:hAnsi="Times New Roman"/>
          <w:color w:val="000000"/>
          <w:sz w:val="28"/>
          <w:szCs w:val="28"/>
        </w:rPr>
        <w:t>77</w:t>
      </w:r>
      <w:r>
        <w:rPr>
          <w:rFonts w:ascii="Times New Roman" w:hAnsi="Times New Roman"/>
          <w:b w:val="0"/>
          <w:color w:val="000000"/>
          <w:sz w:val="28"/>
        </w:rPr>
        <w:t>, 517-526 (2005).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 Cloarec, O. </w:t>
      </w:r>
      <w:r>
        <w:rPr>
          <w:rFonts w:ascii="Times New Roman" w:hAnsi="Times New Roman"/>
          <w:b w:val="0"/>
          <w:i/>
          <w:color w:val="000000"/>
          <w:sz w:val="28"/>
        </w:rPr>
        <w:t>et al.</w:t>
      </w:r>
      <w:r>
        <w:rPr>
          <w:rFonts w:ascii="Times New Roman" w:hAnsi="Times New Roman"/>
          <w:b w:val="0"/>
          <w:color w:val="000000"/>
          <w:sz w:val="28"/>
        </w:rPr>
        <w:t xml:space="preserve"> Statistical total correlation spectroscopy: an exploratory approach for latent biomarker identification from metabolic </w:t>
      </w:r>
      <w:r>
        <w:rPr>
          <w:rFonts w:ascii="Times New Roman" w:hAnsi="Times New Roman"/>
          <w:b w:val="0"/>
          <w:color w:val="000000"/>
          <w:sz w:val="28"/>
          <w:szCs w:val="28"/>
          <w:vertAlign w:val="superscript"/>
        </w:rPr>
        <w:t>1</w:t>
      </w:r>
      <w:r>
        <w:rPr>
          <w:rFonts w:ascii="Times New Roman" w:hAnsi="Times New Roman"/>
          <w:b w:val="0"/>
          <w:color w:val="000000"/>
          <w:sz w:val="28"/>
        </w:rPr>
        <w:t xml:space="preserve">H NMR data sets.  </w:t>
      </w:r>
      <w:r>
        <w:rPr>
          <w:rFonts w:ascii="Times New Roman" w:hAnsi="Times New Roman"/>
          <w:b w:val="0"/>
          <w:i/>
          <w:color w:val="000000"/>
          <w:sz w:val="28"/>
        </w:rPr>
        <w:t>Anal. Chem.</w:t>
      </w:r>
      <w:r>
        <w:rPr>
          <w:rFonts w:ascii="Times New Roman" w:hAnsi="Times New Roman"/>
          <w:b w:val="0"/>
          <w:color w:val="000000"/>
          <w:sz w:val="28"/>
        </w:rPr>
        <w:t xml:space="preserve"> </w:t>
      </w:r>
      <w:r>
        <w:rPr>
          <w:rFonts w:ascii="Times New Roman" w:hAnsi="Times New Roman"/>
          <w:color w:val="000000"/>
          <w:sz w:val="28"/>
        </w:rPr>
        <w:t>77</w:t>
      </w:r>
      <w:r>
        <w:rPr>
          <w:rFonts w:ascii="Times New Roman" w:hAnsi="Times New Roman"/>
          <w:b w:val="0"/>
          <w:color w:val="000000"/>
          <w:sz w:val="28"/>
        </w:rPr>
        <w:t>, 1282-1289 (2005).</w:t>
      </w:r>
    </w:p>
    <w:p w:rsidR="00D5258A" w:rsidRDefault="00D5258A">
      <w:pPr>
        <w:pStyle w:val="BodyText"/>
        <w:numPr>
          <w:ilvl w:val="0"/>
          <w:numId w:val="1"/>
        </w:numPr>
        <w:spacing w:line="480" w:lineRule="auto"/>
        <w:ind w:right="98"/>
        <w:jc w:val="both"/>
        <w:rPr>
          <w:rFonts w:ascii="Times New Roman" w:hAnsi="Times New Roman"/>
          <w:b w:val="0"/>
          <w:color w:val="000000"/>
          <w:sz w:val="28"/>
        </w:rPr>
      </w:pPr>
      <w:r>
        <w:rPr>
          <w:rFonts w:ascii="Times New Roman" w:hAnsi="Times New Roman"/>
          <w:b w:val="0"/>
          <w:color w:val="000000"/>
          <w:sz w:val="28"/>
        </w:rPr>
        <w:t xml:space="preserve">Claridge, T.D.W.  </w:t>
      </w:r>
      <w:r>
        <w:rPr>
          <w:rFonts w:ascii="Times New Roman" w:hAnsi="Times New Roman"/>
          <w:b w:val="0"/>
          <w:i/>
          <w:color w:val="000000"/>
          <w:sz w:val="28"/>
        </w:rPr>
        <w:t>High-Resolution NMR Techniques in Organic Chemistry</w:t>
      </w:r>
      <w:r>
        <w:rPr>
          <w:rFonts w:ascii="Times New Roman" w:hAnsi="Times New Roman"/>
          <w:b w:val="0"/>
          <w:color w:val="000000"/>
          <w:sz w:val="28"/>
        </w:rPr>
        <w:t xml:space="preserve"> Tetrahedron Organic Chemistry Series (</w:t>
      </w:r>
      <w:proofErr w:type="gramStart"/>
      <w:r>
        <w:rPr>
          <w:rFonts w:ascii="Times New Roman" w:hAnsi="Times New Roman"/>
          <w:b w:val="0"/>
          <w:color w:val="000000"/>
          <w:sz w:val="28"/>
        </w:rPr>
        <w:t>eds</w:t>
      </w:r>
      <w:proofErr w:type="gramEnd"/>
      <w:r>
        <w:rPr>
          <w:rFonts w:ascii="Times New Roman" w:hAnsi="Times New Roman"/>
          <w:b w:val="0"/>
          <w:color w:val="000000"/>
          <w:sz w:val="28"/>
        </w:rPr>
        <w:t xml:space="preserve"> Baldwin, J.E. &amp; Williams, R.M.) </w:t>
      </w:r>
      <w:r>
        <w:rPr>
          <w:rFonts w:ascii="Times New Roman" w:hAnsi="Times New Roman"/>
          <w:color w:val="000000"/>
          <w:sz w:val="28"/>
          <w:szCs w:val="28"/>
        </w:rPr>
        <w:t>19</w:t>
      </w:r>
      <w:r>
        <w:rPr>
          <w:rFonts w:ascii="Times New Roman" w:hAnsi="Times New Roman"/>
          <w:b w:val="0"/>
          <w:color w:val="000000"/>
          <w:sz w:val="28"/>
          <w:szCs w:val="28"/>
        </w:rPr>
        <w:t xml:space="preserve"> </w:t>
      </w:r>
      <w:r>
        <w:rPr>
          <w:rFonts w:ascii="Times New Roman" w:hAnsi="Times New Roman"/>
          <w:b w:val="0"/>
          <w:color w:val="000000"/>
          <w:sz w:val="28"/>
        </w:rPr>
        <w:t>(Elsevier, Amsterdam, 1999).</w:t>
      </w:r>
    </w:p>
    <w:p w:rsidR="00D5258A" w:rsidRDefault="00D5258A">
      <w:pPr>
        <w:pStyle w:val="BodyText2"/>
        <w:spacing w:line="480" w:lineRule="auto"/>
        <w:jc w:val="both"/>
        <w:rPr>
          <w:rFonts w:ascii="Times New Roman" w:hAnsi="Times New Roman"/>
          <w:b w:val="0"/>
          <w:color w:val="000000"/>
        </w:rPr>
      </w:pPr>
    </w:p>
    <w:p w:rsidR="00D5258A" w:rsidRDefault="00D5258A">
      <w:pPr>
        <w:pStyle w:val="BodyText2"/>
        <w:spacing w:line="480" w:lineRule="auto"/>
        <w:jc w:val="both"/>
        <w:rPr>
          <w:rFonts w:ascii="Times New Roman" w:hAnsi="Times New Roman"/>
          <w:b w:val="0"/>
          <w:color w:val="000000"/>
        </w:rPr>
      </w:pPr>
      <w:r>
        <w:rPr>
          <w:rFonts w:ascii="Times New Roman" w:hAnsi="Times New Roman"/>
          <w:color w:val="000000"/>
          <w:szCs w:val="28"/>
        </w:rPr>
        <w:t>Supplementary Information</w:t>
      </w:r>
      <w:r>
        <w:rPr>
          <w:rFonts w:ascii="Times New Roman" w:hAnsi="Times New Roman"/>
          <w:b w:val="0"/>
          <w:color w:val="000000"/>
        </w:rPr>
        <w:t xml:space="preserve"> is linked to the online version of the paper at www.nature.com/nature.</w:t>
      </w:r>
    </w:p>
    <w:p w:rsidR="00D5258A" w:rsidRDefault="00D5258A">
      <w:pPr>
        <w:pStyle w:val="BodyText"/>
        <w:spacing w:line="480" w:lineRule="auto"/>
        <w:ind w:left="180" w:right="98" w:firstLine="180"/>
        <w:jc w:val="both"/>
        <w:rPr>
          <w:rFonts w:ascii="Times New Roman" w:hAnsi="Times New Roman"/>
          <w:b w:val="0"/>
          <w:color w:val="000000"/>
          <w:sz w:val="24"/>
        </w:rPr>
      </w:pPr>
    </w:p>
    <w:p w:rsidR="00D5258A" w:rsidRDefault="00D5258A">
      <w:pPr>
        <w:pStyle w:val="BodyText2"/>
        <w:spacing w:line="480" w:lineRule="auto"/>
        <w:jc w:val="both"/>
        <w:rPr>
          <w:rFonts w:ascii="Times New Roman" w:hAnsi="Times New Roman"/>
          <w:b w:val="0"/>
          <w:color w:val="000000"/>
        </w:rPr>
      </w:pPr>
      <w:r>
        <w:rPr>
          <w:rFonts w:ascii="Times New Roman" w:hAnsi="Times New Roman"/>
          <w:color w:val="000000"/>
          <w:szCs w:val="28"/>
        </w:rPr>
        <w:t xml:space="preserve">Acknowledgements </w:t>
      </w:r>
      <w:r>
        <w:rPr>
          <w:rFonts w:ascii="Times New Roman" w:hAnsi="Times New Roman"/>
          <w:b w:val="0"/>
          <w:color w:val="000000"/>
        </w:rPr>
        <w:t xml:space="preserve">We thank the technical staff of Pfizer Global R&amp;D, </w:t>
      </w:r>
      <w:smartTag w:uri="urn:schemas-microsoft-com:office:smarttags" w:element="place">
        <w:smartTag w:uri="urn:schemas-microsoft-com:office:smarttags" w:element="City">
          <w:r>
            <w:rPr>
              <w:rFonts w:ascii="Times New Roman" w:hAnsi="Times New Roman"/>
              <w:b w:val="0"/>
              <w:color w:val="000000"/>
            </w:rPr>
            <w:t>Amboise</w:t>
          </w:r>
        </w:smartTag>
        <w:r>
          <w:rPr>
            <w:rFonts w:ascii="Times New Roman" w:hAnsi="Times New Roman"/>
            <w:b w:val="0"/>
            <w:color w:val="000000"/>
          </w:rPr>
          <w:t xml:space="preserve">, </w:t>
        </w:r>
        <w:smartTag w:uri="urn:schemas-microsoft-com:office:smarttags" w:element="country-region">
          <w:r>
            <w:rPr>
              <w:rFonts w:ascii="Times New Roman" w:hAnsi="Times New Roman"/>
              <w:b w:val="0"/>
              <w:color w:val="000000"/>
            </w:rPr>
            <w:t>France</w:t>
          </w:r>
        </w:smartTag>
      </w:smartTag>
      <w:r>
        <w:rPr>
          <w:rFonts w:ascii="Times New Roman" w:hAnsi="Times New Roman"/>
          <w:b w:val="0"/>
          <w:color w:val="000000"/>
        </w:rPr>
        <w:t xml:space="preserve"> for their assistance in performing the animal-related work and Prof. R. L. Smith of Imperial College London for discussions.  </w:t>
      </w:r>
    </w:p>
    <w:p w:rsidR="00D5258A" w:rsidRDefault="00D5258A">
      <w:pPr>
        <w:pStyle w:val="BodyText2"/>
        <w:spacing w:line="480" w:lineRule="auto"/>
        <w:jc w:val="both"/>
        <w:rPr>
          <w:rFonts w:ascii="Times New Roman" w:hAnsi="Times New Roman"/>
          <w:b w:val="0"/>
          <w:color w:val="000000"/>
        </w:rPr>
      </w:pPr>
    </w:p>
    <w:p w:rsidR="00D5258A" w:rsidRDefault="00D5258A">
      <w:pPr>
        <w:pStyle w:val="BodyText2"/>
        <w:spacing w:line="480" w:lineRule="auto"/>
        <w:jc w:val="both"/>
        <w:rPr>
          <w:rFonts w:ascii="Times New Roman" w:hAnsi="Times New Roman"/>
          <w:b w:val="0"/>
          <w:color w:val="000000"/>
        </w:rPr>
      </w:pPr>
      <w:r>
        <w:rPr>
          <w:rFonts w:ascii="Times New Roman" w:hAnsi="Times New Roman"/>
          <w:color w:val="000000"/>
          <w:szCs w:val="28"/>
        </w:rPr>
        <w:lastRenderedPageBreak/>
        <w:t>Author Information</w:t>
      </w:r>
      <w:r>
        <w:rPr>
          <w:rFonts w:ascii="Times New Roman" w:hAnsi="Times New Roman"/>
          <w:b w:val="0"/>
          <w:color w:val="000000"/>
        </w:rPr>
        <w:t xml:space="preserve"> Reprints and permissions information is available at npg.nature.com/reprintsandpermissions.  The authors declare competing financial interests.  Correspondence and requests for materials should be addressed to J.K.N (</w:t>
      </w:r>
      <w:hyperlink r:id="rId7" w:history="1">
        <w:r>
          <w:rPr>
            <w:rStyle w:val="Hyperlink"/>
            <w:rFonts w:ascii="Times New Roman" w:hAnsi="Times New Roman"/>
          </w:rPr>
          <w:t>j.nicholson@imperial.ac.uk</w:t>
        </w:r>
      </w:hyperlink>
      <w:r>
        <w:rPr>
          <w:rFonts w:ascii="Times New Roman" w:hAnsi="Times New Roman"/>
          <w:b w:val="0"/>
          <w:color w:val="000000"/>
        </w:rPr>
        <w:t>)</w:t>
      </w:r>
    </w:p>
    <w:p w:rsidR="00D5258A" w:rsidRDefault="00D5258A">
      <w:pPr>
        <w:pStyle w:val="BodyText2"/>
        <w:spacing w:line="480" w:lineRule="auto"/>
        <w:jc w:val="both"/>
        <w:rPr>
          <w:rFonts w:ascii="Times New Roman" w:hAnsi="Times New Roman"/>
          <w:color w:val="000000"/>
        </w:rPr>
      </w:pPr>
      <w:r>
        <w:rPr>
          <w:rFonts w:ascii="Times New Roman" w:hAnsi="Times New Roman"/>
          <w:color w:val="000000"/>
        </w:rPr>
        <w:br w:type="page"/>
      </w:r>
    </w:p>
    <w:p w:rsidR="00D5258A" w:rsidRDefault="00D5258A">
      <w:pPr>
        <w:pStyle w:val="BodyText2"/>
        <w:jc w:val="both"/>
        <w:rPr>
          <w:rFonts w:ascii="Times New Roman" w:hAnsi="Times New Roman"/>
          <w:b w:val="0"/>
          <w:color w:val="000000"/>
        </w:rPr>
      </w:pPr>
      <w:proofErr w:type="gramStart"/>
      <w:r>
        <w:rPr>
          <w:rFonts w:ascii="Times New Roman" w:hAnsi="Times New Roman"/>
          <w:b w:val="0"/>
          <w:color w:val="000000"/>
        </w:rPr>
        <w:t>Table 1.</w:t>
      </w:r>
      <w:proofErr w:type="gramEnd"/>
      <w:r>
        <w:rPr>
          <w:rFonts w:ascii="Times New Roman" w:hAnsi="Times New Roman"/>
          <w:b w:val="0"/>
          <w:color w:val="000000"/>
        </w:rPr>
        <w:t xml:space="preserve"> </w:t>
      </w:r>
      <w:proofErr w:type="gramStart"/>
      <w:r>
        <w:rPr>
          <w:rFonts w:ascii="Times New Roman" w:hAnsi="Times New Roman"/>
          <w:b w:val="0"/>
          <w:color w:val="000000"/>
        </w:rPr>
        <w:t xml:space="preserve">Liver histopathology in paracetamol-dosed rats at </w:t>
      </w:r>
      <w:r>
        <w:rPr>
          <w:rFonts w:ascii="Times New Roman" w:hAnsi="Times New Roman"/>
          <w:b w:val="0"/>
          <w:i/>
          <w:color w:val="000000"/>
        </w:rPr>
        <w:t>ca.</w:t>
      </w:r>
      <w:r>
        <w:rPr>
          <w:rFonts w:ascii="Times New Roman" w:hAnsi="Times New Roman"/>
          <w:b w:val="0"/>
          <w:color w:val="000000"/>
        </w:rPr>
        <w:t xml:space="preserve"> 24 hours after dosing.</w:t>
      </w:r>
      <w:proofErr w:type="gramEnd"/>
    </w:p>
    <w:p w:rsidR="00D5258A" w:rsidRDefault="00D5258A">
      <w:pPr>
        <w:pStyle w:val="BodyText2"/>
        <w:jc w:val="both"/>
        <w:rPr>
          <w:rFonts w:ascii="Times New Roman" w:hAnsi="Times New Roman"/>
          <w:b w:val="0"/>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58"/>
        <w:gridCol w:w="3060"/>
        <w:gridCol w:w="1710"/>
        <w:gridCol w:w="2880"/>
      </w:tblGrid>
      <w:tr w:rsidR="00D5258A">
        <w:tblPrEx>
          <w:tblCellMar>
            <w:top w:w="0" w:type="dxa"/>
            <w:bottom w:w="0" w:type="dxa"/>
          </w:tblCellMar>
        </w:tblPrEx>
        <w:tc>
          <w:tcPr>
            <w:tcW w:w="2358"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Mean histology score (MHS</w:t>
            </w:r>
            <w:r>
              <w:rPr>
                <w:rFonts w:ascii="Times New Roman" w:hAnsi="Times New Roman"/>
                <w:color w:val="000000"/>
                <w:vertAlign w:val="superscript"/>
              </w:rPr>
              <w:t>a</w:t>
            </w:r>
            <w:r>
              <w:rPr>
                <w:rFonts w:ascii="Times New Roman" w:hAnsi="Times New Roman"/>
                <w:b w:val="0"/>
                <w:color w:val="000000"/>
              </w:rPr>
              <w:t>)</w:t>
            </w:r>
          </w:p>
        </w:tc>
        <w:tc>
          <w:tcPr>
            <w:tcW w:w="306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Extent of liver necrosis</w:t>
            </w:r>
          </w:p>
        </w:tc>
        <w:tc>
          <w:tcPr>
            <w:tcW w:w="171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Number of rats in this category</w:t>
            </w:r>
          </w:p>
        </w:tc>
        <w:tc>
          <w:tcPr>
            <w:tcW w:w="288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 xml:space="preserve">Class designation </w:t>
            </w:r>
            <w:r w:rsidR="000766A3">
              <w:rPr>
                <w:rFonts w:ascii="Times New Roman" w:hAnsi="Times New Roman"/>
                <w:b w:val="0"/>
                <w:color w:val="000000"/>
              </w:rPr>
              <w:t xml:space="preserve">and colour-coding </w:t>
            </w:r>
            <w:r>
              <w:rPr>
                <w:rFonts w:ascii="Times New Roman" w:hAnsi="Times New Roman"/>
                <w:b w:val="0"/>
                <w:color w:val="000000"/>
              </w:rPr>
              <w:t>for PCA</w:t>
            </w:r>
          </w:p>
        </w:tc>
      </w:tr>
      <w:tr w:rsidR="00D5258A">
        <w:tblPrEx>
          <w:tblCellMar>
            <w:top w:w="0" w:type="dxa"/>
            <w:bottom w:w="0" w:type="dxa"/>
          </w:tblCellMar>
        </w:tblPrEx>
        <w:trPr>
          <w:cantSplit/>
        </w:trPr>
        <w:tc>
          <w:tcPr>
            <w:tcW w:w="2358"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MHS = 0.0</w:t>
            </w:r>
          </w:p>
        </w:tc>
        <w:tc>
          <w:tcPr>
            <w:tcW w:w="306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No significant necrosis</w:t>
            </w:r>
          </w:p>
        </w:tc>
        <w:tc>
          <w:tcPr>
            <w:tcW w:w="171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1</w:t>
            </w:r>
          </w:p>
          <w:p w:rsidR="00D5258A" w:rsidRDefault="00D5258A">
            <w:pPr>
              <w:pStyle w:val="BodyText2"/>
              <w:jc w:val="both"/>
              <w:rPr>
                <w:rFonts w:ascii="Times New Roman" w:hAnsi="Times New Roman"/>
                <w:b w:val="0"/>
                <w:color w:val="000000"/>
              </w:rPr>
            </w:pPr>
          </w:p>
        </w:tc>
        <w:tc>
          <w:tcPr>
            <w:tcW w:w="2880" w:type="dxa"/>
            <w:vMerge w:val="restart"/>
          </w:tcPr>
          <w:p w:rsidR="00D5258A" w:rsidRDefault="00D5258A">
            <w:pPr>
              <w:pStyle w:val="BodyText2"/>
              <w:jc w:val="both"/>
              <w:rPr>
                <w:rFonts w:ascii="Times New Roman" w:hAnsi="Times New Roman"/>
                <w:b w:val="0"/>
                <w:color w:val="000000"/>
              </w:rPr>
            </w:pPr>
            <w:r>
              <w:rPr>
                <w:rFonts w:ascii="Times New Roman" w:hAnsi="Times New Roman"/>
                <w:b w:val="0"/>
                <w:color w:val="000000"/>
                <w:sz w:val="96"/>
                <w:szCs w:val="96"/>
              </w:rPr>
              <w:t>}</w:t>
            </w:r>
            <w:r w:rsidR="000766A3">
              <w:rPr>
                <w:rFonts w:ascii="Times New Roman" w:hAnsi="Times New Roman"/>
                <w:b w:val="0"/>
                <w:color w:val="000000"/>
                <w:sz w:val="96"/>
                <w:szCs w:val="96"/>
              </w:rPr>
              <w:t xml:space="preserve"> </w:t>
            </w:r>
            <w:r>
              <w:rPr>
                <w:rFonts w:ascii="Times New Roman" w:hAnsi="Times New Roman"/>
                <w:b w:val="0"/>
                <w:color w:val="000000"/>
                <w:szCs w:val="28"/>
              </w:rPr>
              <w:t>1</w:t>
            </w:r>
            <w:r w:rsidR="000766A3">
              <w:rPr>
                <w:rFonts w:ascii="Times New Roman" w:hAnsi="Times New Roman"/>
                <w:b w:val="0"/>
                <w:color w:val="000000"/>
                <w:szCs w:val="28"/>
              </w:rPr>
              <w:t>, green</w:t>
            </w:r>
          </w:p>
        </w:tc>
      </w:tr>
      <w:tr w:rsidR="00D5258A">
        <w:tblPrEx>
          <w:tblCellMar>
            <w:top w:w="0" w:type="dxa"/>
            <w:bottom w:w="0" w:type="dxa"/>
          </w:tblCellMar>
        </w:tblPrEx>
        <w:trPr>
          <w:cantSplit/>
        </w:trPr>
        <w:tc>
          <w:tcPr>
            <w:tcW w:w="2358"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0.0 &lt; MHS &lt; 1.5</w:t>
            </w:r>
          </w:p>
        </w:tc>
        <w:tc>
          <w:tcPr>
            <w:tcW w:w="306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Minimal necrosis</w:t>
            </w:r>
          </w:p>
        </w:tc>
        <w:tc>
          <w:tcPr>
            <w:tcW w:w="171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20</w:t>
            </w:r>
          </w:p>
          <w:p w:rsidR="00D5258A" w:rsidRDefault="00D5258A">
            <w:pPr>
              <w:pStyle w:val="BodyText2"/>
              <w:jc w:val="both"/>
              <w:rPr>
                <w:rFonts w:ascii="Times New Roman" w:hAnsi="Times New Roman"/>
                <w:b w:val="0"/>
                <w:color w:val="000000"/>
              </w:rPr>
            </w:pPr>
          </w:p>
        </w:tc>
        <w:tc>
          <w:tcPr>
            <w:tcW w:w="2880" w:type="dxa"/>
            <w:vMerge/>
          </w:tcPr>
          <w:p w:rsidR="00D5258A" w:rsidRDefault="00D5258A">
            <w:pPr>
              <w:pStyle w:val="BodyText2"/>
              <w:jc w:val="both"/>
              <w:rPr>
                <w:rFonts w:ascii="Times New Roman" w:hAnsi="Times New Roman"/>
                <w:b w:val="0"/>
                <w:color w:val="000000"/>
              </w:rPr>
            </w:pPr>
          </w:p>
        </w:tc>
      </w:tr>
      <w:tr w:rsidR="00D5258A">
        <w:tblPrEx>
          <w:tblCellMar>
            <w:top w:w="0" w:type="dxa"/>
            <w:bottom w:w="0" w:type="dxa"/>
          </w:tblCellMar>
        </w:tblPrEx>
        <w:tc>
          <w:tcPr>
            <w:tcW w:w="2358"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1.5 &lt; MHS &lt; 2.5</w:t>
            </w:r>
          </w:p>
        </w:tc>
        <w:tc>
          <w:tcPr>
            <w:tcW w:w="306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Mild necrosis</w:t>
            </w:r>
          </w:p>
        </w:tc>
        <w:tc>
          <w:tcPr>
            <w:tcW w:w="171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32</w:t>
            </w:r>
          </w:p>
          <w:p w:rsidR="00D5258A" w:rsidRDefault="00D5258A">
            <w:pPr>
              <w:pStyle w:val="BodyText2"/>
              <w:jc w:val="both"/>
              <w:rPr>
                <w:rFonts w:ascii="Times New Roman" w:hAnsi="Times New Roman"/>
                <w:b w:val="0"/>
                <w:color w:val="000000"/>
              </w:rPr>
            </w:pPr>
          </w:p>
        </w:tc>
        <w:tc>
          <w:tcPr>
            <w:tcW w:w="2880" w:type="dxa"/>
          </w:tcPr>
          <w:p w:rsidR="00D5258A" w:rsidRDefault="000766A3">
            <w:pPr>
              <w:pStyle w:val="BodyText2"/>
              <w:jc w:val="both"/>
              <w:rPr>
                <w:rFonts w:ascii="Times New Roman" w:hAnsi="Times New Roman"/>
                <w:b w:val="0"/>
                <w:color w:val="000000"/>
              </w:rPr>
            </w:pPr>
            <w:r>
              <w:rPr>
                <w:rFonts w:ascii="Times New Roman" w:hAnsi="Times New Roman"/>
                <w:b w:val="0"/>
                <w:color w:val="000000"/>
              </w:rPr>
              <w:t xml:space="preserve">          </w:t>
            </w:r>
            <w:r w:rsidR="00D5258A">
              <w:rPr>
                <w:rFonts w:ascii="Times New Roman" w:hAnsi="Times New Roman"/>
                <w:b w:val="0"/>
                <w:color w:val="000000"/>
              </w:rPr>
              <w:t>2</w:t>
            </w:r>
            <w:r>
              <w:rPr>
                <w:rFonts w:ascii="Times New Roman" w:hAnsi="Times New Roman"/>
                <w:b w:val="0"/>
                <w:color w:val="000000"/>
              </w:rPr>
              <w:t>, blue</w:t>
            </w:r>
          </w:p>
        </w:tc>
      </w:tr>
      <w:tr w:rsidR="00D5258A">
        <w:tblPrEx>
          <w:tblCellMar>
            <w:top w:w="0" w:type="dxa"/>
            <w:bottom w:w="0" w:type="dxa"/>
          </w:tblCellMar>
        </w:tblPrEx>
        <w:tc>
          <w:tcPr>
            <w:tcW w:w="2358"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2.5 &lt; MHS</w:t>
            </w:r>
          </w:p>
        </w:tc>
        <w:tc>
          <w:tcPr>
            <w:tcW w:w="306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Moderate necrosis</w:t>
            </w:r>
          </w:p>
        </w:tc>
        <w:tc>
          <w:tcPr>
            <w:tcW w:w="1710" w:type="dxa"/>
          </w:tcPr>
          <w:p w:rsidR="00D5258A" w:rsidRDefault="00D5258A">
            <w:pPr>
              <w:pStyle w:val="BodyText2"/>
              <w:jc w:val="both"/>
              <w:rPr>
                <w:rFonts w:ascii="Times New Roman" w:hAnsi="Times New Roman"/>
                <w:b w:val="0"/>
                <w:color w:val="000000"/>
              </w:rPr>
            </w:pPr>
            <w:r>
              <w:rPr>
                <w:rFonts w:ascii="Times New Roman" w:hAnsi="Times New Roman"/>
                <w:b w:val="0"/>
                <w:color w:val="000000"/>
              </w:rPr>
              <w:t>12</w:t>
            </w:r>
          </w:p>
          <w:p w:rsidR="00D5258A" w:rsidRDefault="00D5258A">
            <w:pPr>
              <w:pStyle w:val="BodyText2"/>
              <w:jc w:val="both"/>
              <w:rPr>
                <w:rFonts w:ascii="Times New Roman" w:hAnsi="Times New Roman"/>
                <w:b w:val="0"/>
                <w:color w:val="000000"/>
              </w:rPr>
            </w:pPr>
          </w:p>
        </w:tc>
        <w:tc>
          <w:tcPr>
            <w:tcW w:w="2880" w:type="dxa"/>
          </w:tcPr>
          <w:p w:rsidR="00D5258A" w:rsidRDefault="000766A3">
            <w:pPr>
              <w:pStyle w:val="BodyText2"/>
              <w:jc w:val="both"/>
              <w:rPr>
                <w:rFonts w:ascii="Times New Roman" w:hAnsi="Times New Roman"/>
                <w:b w:val="0"/>
                <w:color w:val="000000"/>
              </w:rPr>
            </w:pPr>
            <w:r>
              <w:rPr>
                <w:rFonts w:ascii="Times New Roman" w:hAnsi="Times New Roman"/>
                <w:b w:val="0"/>
                <w:color w:val="000000"/>
              </w:rPr>
              <w:t xml:space="preserve">          </w:t>
            </w:r>
            <w:r w:rsidR="00D5258A">
              <w:rPr>
                <w:rFonts w:ascii="Times New Roman" w:hAnsi="Times New Roman"/>
                <w:b w:val="0"/>
                <w:color w:val="000000"/>
              </w:rPr>
              <w:t>3</w:t>
            </w:r>
            <w:r>
              <w:rPr>
                <w:rFonts w:ascii="Times New Roman" w:hAnsi="Times New Roman"/>
                <w:b w:val="0"/>
                <w:color w:val="000000"/>
              </w:rPr>
              <w:t>, red</w:t>
            </w:r>
          </w:p>
        </w:tc>
      </w:tr>
    </w:tbl>
    <w:p w:rsidR="00D5258A" w:rsidRDefault="00D5258A">
      <w:pPr>
        <w:pStyle w:val="BodyText2"/>
        <w:jc w:val="both"/>
        <w:rPr>
          <w:rFonts w:ascii="Times New Roman" w:hAnsi="Times New Roman"/>
          <w:b w:val="0"/>
          <w:color w:val="000000"/>
          <w:sz w:val="20"/>
        </w:rPr>
      </w:pPr>
      <w:proofErr w:type="gramStart"/>
      <w:r>
        <w:rPr>
          <w:rFonts w:ascii="Times New Roman" w:hAnsi="Times New Roman"/>
          <w:color w:val="000000"/>
          <w:vertAlign w:val="superscript"/>
        </w:rPr>
        <w:t>a</w:t>
      </w:r>
      <w:proofErr w:type="gramEnd"/>
      <w:r>
        <w:rPr>
          <w:rFonts w:ascii="Times New Roman" w:hAnsi="Times New Roman"/>
          <w:b w:val="0"/>
          <w:color w:val="000000"/>
        </w:rPr>
        <w:t xml:space="preserve"> </w:t>
      </w:r>
      <w:r>
        <w:rPr>
          <w:rFonts w:ascii="Times New Roman" w:hAnsi="Times New Roman"/>
          <w:b w:val="0"/>
          <w:color w:val="000000"/>
          <w:sz w:val="20"/>
        </w:rPr>
        <w:t>It was not possible to obtain mean histology scores of 1.5 or 2.5 because of the methodology employed, wherein the individual scores across five liver lobes were averaged.  See the supplementary information for further details.</w:t>
      </w:r>
    </w:p>
    <w:p w:rsidR="00D5258A" w:rsidRDefault="00D5258A">
      <w:pPr>
        <w:pStyle w:val="BodyText2"/>
        <w:spacing w:line="480" w:lineRule="auto"/>
        <w:jc w:val="both"/>
        <w:rPr>
          <w:rFonts w:ascii="Times New Roman" w:hAnsi="Times New Roman"/>
          <w:b w:val="0"/>
          <w:szCs w:val="28"/>
        </w:rPr>
      </w:pPr>
      <w:r>
        <w:rPr>
          <w:rFonts w:ascii="Times New Roman" w:hAnsi="Times New Roman"/>
          <w:color w:val="000000"/>
          <w:vertAlign w:val="superscript"/>
        </w:rPr>
        <w:br w:type="page"/>
      </w:r>
      <w:proofErr w:type="gramStart"/>
      <w:r>
        <w:rPr>
          <w:rFonts w:ascii="Times New Roman" w:hAnsi="Times New Roman"/>
        </w:rPr>
        <w:lastRenderedPageBreak/>
        <w:t>Fig. 1</w:t>
      </w:r>
      <w:r>
        <w:rPr>
          <w:rFonts w:ascii="Times New Roman" w:hAnsi="Times New Roman"/>
        </w:rPr>
        <w:tab/>
      </w:r>
      <w:r>
        <w:rPr>
          <w:rFonts w:ascii="Times New Roman" w:hAnsi="Times New Roman"/>
        </w:rPr>
        <w:tab/>
      </w:r>
      <w:r>
        <w:rPr>
          <w:rFonts w:ascii="Times New Roman" w:hAnsi="Times New Roman"/>
          <w:b w:val="0"/>
        </w:rPr>
        <w:t>Preliminary studies and</w:t>
      </w:r>
      <w:r>
        <w:rPr>
          <w:rFonts w:ascii="Times New Roman" w:hAnsi="Times New Roman"/>
        </w:rPr>
        <w:t xml:space="preserve"> </w:t>
      </w:r>
      <w:r w:rsidR="00FA1ADB" w:rsidRPr="00FA1ADB">
        <w:rPr>
          <w:rFonts w:ascii="Times New Roman" w:hAnsi="Times New Roman"/>
          <w:b w:val="0"/>
        </w:rPr>
        <w:t>the</w:t>
      </w:r>
      <w:r w:rsidR="00FA1ADB">
        <w:rPr>
          <w:rFonts w:ascii="Times New Roman" w:hAnsi="Times New Roman"/>
        </w:rPr>
        <w:t xml:space="preserve"> </w:t>
      </w:r>
      <w:r w:rsidR="00FA1ADB">
        <w:rPr>
          <w:rFonts w:ascii="Times New Roman" w:hAnsi="Times New Roman"/>
          <w:b w:val="0"/>
          <w:szCs w:val="28"/>
        </w:rPr>
        <w:t>pharmaco-metabonomic</w:t>
      </w:r>
      <w:r w:rsidR="002045CD">
        <w:rPr>
          <w:rFonts w:ascii="Times New Roman" w:hAnsi="Times New Roman"/>
          <w:b w:val="0"/>
          <w:szCs w:val="28"/>
        </w:rPr>
        <w:t xml:space="preserve"> </w:t>
      </w:r>
      <w:r>
        <w:rPr>
          <w:rFonts w:ascii="Times New Roman" w:hAnsi="Times New Roman"/>
          <w:b w:val="0"/>
          <w:szCs w:val="28"/>
        </w:rPr>
        <w:t>hypothesis.</w:t>
      </w:r>
      <w:proofErr w:type="gramEnd"/>
      <w:r>
        <w:rPr>
          <w:rFonts w:ascii="Times New Roman" w:hAnsi="Times New Roman"/>
          <w:b w:val="0"/>
          <w:szCs w:val="28"/>
        </w:rPr>
        <w:t xml:space="preserve">  </w:t>
      </w:r>
      <w:r>
        <w:rPr>
          <w:rFonts w:ascii="Times New Roman" w:hAnsi="Times New Roman"/>
          <w:i/>
          <w:szCs w:val="28"/>
        </w:rPr>
        <w:t>a</w:t>
      </w:r>
      <w:r>
        <w:rPr>
          <w:rFonts w:ascii="Times New Roman" w:hAnsi="Times New Roman"/>
          <w:b w:val="0"/>
          <w:szCs w:val="28"/>
        </w:rPr>
        <w:t xml:space="preserve">, a scores plot from </w:t>
      </w:r>
      <w:r w:rsidR="00D87AC4">
        <w:rPr>
          <w:rFonts w:ascii="Times New Roman" w:hAnsi="Times New Roman"/>
          <w:b w:val="0"/>
          <w:szCs w:val="28"/>
        </w:rPr>
        <w:t xml:space="preserve">a </w:t>
      </w:r>
      <w:r>
        <w:rPr>
          <w:rFonts w:ascii="Times New Roman" w:hAnsi="Times New Roman"/>
          <w:b w:val="0"/>
          <w:szCs w:val="28"/>
        </w:rPr>
        <w:t xml:space="preserve">PCA of the </w:t>
      </w:r>
      <w:r>
        <w:rPr>
          <w:rFonts w:ascii="Times New Roman" w:hAnsi="Times New Roman"/>
          <w:b w:val="0"/>
          <w:szCs w:val="28"/>
          <w:vertAlign w:val="superscript"/>
        </w:rPr>
        <w:t>1</w:t>
      </w:r>
      <w:r>
        <w:rPr>
          <w:rFonts w:ascii="Times New Roman" w:hAnsi="Times New Roman"/>
          <w:b w:val="0"/>
          <w:szCs w:val="28"/>
        </w:rPr>
        <w:t xml:space="preserve">H NMR spectra of urine samples obtained </w:t>
      </w:r>
      <w:r w:rsidR="00FA1ADB">
        <w:rPr>
          <w:rFonts w:ascii="Times New Roman" w:hAnsi="Times New Roman"/>
          <w:b w:val="0"/>
          <w:szCs w:val="28"/>
        </w:rPr>
        <w:t xml:space="preserve">prior to dosing male Sprague-Dawley rats with </w:t>
      </w:r>
      <w:r>
        <w:rPr>
          <w:rFonts w:ascii="Times New Roman" w:hAnsi="Times New Roman"/>
          <w:b w:val="0"/>
          <w:szCs w:val="28"/>
        </w:rPr>
        <w:t xml:space="preserve">galactosamine hydrochloride (800 mg/kg).  Each point represents an individual rat with colour-coding according to post-dose </w:t>
      </w:r>
      <w:r w:rsidR="000325BE">
        <w:rPr>
          <w:rFonts w:ascii="Times New Roman" w:hAnsi="Times New Roman"/>
          <w:b w:val="0"/>
          <w:szCs w:val="28"/>
        </w:rPr>
        <w:t>behaviour</w:t>
      </w:r>
      <w:r>
        <w:rPr>
          <w:rFonts w:ascii="Times New Roman" w:hAnsi="Times New Roman"/>
          <w:b w:val="0"/>
          <w:szCs w:val="28"/>
        </w:rPr>
        <w:t xml:space="preserve">.  </w:t>
      </w:r>
      <w:proofErr w:type="gramStart"/>
      <w:r>
        <w:rPr>
          <w:rFonts w:ascii="Times New Roman" w:hAnsi="Times New Roman"/>
          <w:i/>
          <w:szCs w:val="28"/>
        </w:rPr>
        <w:t>b</w:t>
      </w:r>
      <w:proofErr w:type="gramEnd"/>
      <w:r>
        <w:rPr>
          <w:rFonts w:ascii="Times New Roman" w:hAnsi="Times New Roman"/>
          <w:b w:val="0"/>
          <w:szCs w:val="28"/>
        </w:rPr>
        <w:t xml:space="preserve">, a scores plot from </w:t>
      </w:r>
      <w:r w:rsidR="00D87AC4">
        <w:rPr>
          <w:rFonts w:ascii="Times New Roman" w:hAnsi="Times New Roman"/>
          <w:b w:val="0"/>
          <w:szCs w:val="28"/>
        </w:rPr>
        <w:t xml:space="preserve">a </w:t>
      </w:r>
      <w:r>
        <w:rPr>
          <w:rFonts w:ascii="Times New Roman" w:hAnsi="Times New Roman"/>
          <w:b w:val="0"/>
          <w:szCs w:val="28"/>
        </w:rPr>
        <w:t xml:space="preserve">PCA of urinary data obtained </w:t>
      </w:r>
      <w:r w:rsidR="00FA1ADB">
        <w:rPr>
          <w:rFonts w:ascii="Times New Roman" w:hAnsi="Times New Roman"/>
          <w:b w:val="0"/>
          <w:szCs w:val="28"/>
        </w:rPr>
        <w:t>prior to dosing male Sprague-Dawley rats with</w:t>
      </w:r>
      <w:r>
        <w:rPr>
          <w:rFonts w:ascii="Times New Roman" w:hAnsi="Times New Roman"/>
          <w:b w:val="0"/>
          <w:szCs w:val="28"/>
        </w:rPr>
        <w:t xml:space="preserve"> allyl alcohol (50 mg/kg).  Each point represents an individual rat with colour-cod</w:t>
      </w:r>
      <w:r w:rsidR="00786A9A">
        <w:rPr>
          <w:rFonts w:ascii="Times New Roman" w:hAnsi="Times New Roman"/>
          <w:b w:val="0"/>
          <w:szCs w:val="28"/>
        </w:rPr>
        <w:t>ing</w:t>
      </w:r>
      <w:r>
        <w:rPr>
          <w:rFonts w:ascii="Times New Roman" w:hAnsi="Times New Roman"/>
          <w:b w:val="0"/>
          <w:szCs w:val="28"/>
        </w:rPr>
        <w:t xml:space="preserve"> according to the extent of post-dose liver damage</w:t>
      </w:r>
      <w:r w:rsidR="00872E3A">
        <w:rPr>
          <w:rFonts w:ascii="Times New Roman" w:hAnsi="Times New Roman"/>
          <w:b w:val="0"/>
          <w:szCs w:val="28"/>
        </w:rPr>
        <w:t>.  Mid</w:t>
      </w:r>
      <w:r w:rsidR="002045CD">
        <w:rPr>
          <w:rFonts w:ascii="Times New Roman" w:hAnsi="Times New Roman"/>
          <w:b w:val="0"/>
          <w:szCs w:val="28"/>
        </w:rPr>
        <w:t>-</w:t>
      </w:r>
      <w:r w:rsidR="00872E3A">
        <w:rPr>
          <w:rFonts w:ascii="Times New Roman" w:hAnsi="Times New Roman"/>
          <w:b w:val="0"/>
          <w:szCs w:val="28"/>
        </w:rPr>
        <w:t>damage group excluded.</w:t>
      </w:r>
      <w:r>
        <w:rPr>
          <w:rFonts w:ascii="Times New Roman" w:hAnsi="Times New Roman"/>
          <w:b w:val="0"/>
          <w:szCs w:val="28"/>
        </w:rPr>
        <w:t xml:space="preserve"> </w:t>
      </w:r>
      <w:r w:rsidR="0007214D">
        <w:rPr>
          <w:rFonts w:ascii="Times New Roman" w:hAnsi="Times New Roman"/>
          <w:b w:val="0"/>
          <w:szCs w:val="28"/>
        </w:rPr>
        <w:t xml:space="preserve"> </w:t>
      </w:r>
      <w:proofErr w:type="gramStart"/>
      <w:r>
        <w:rPr>
          <w:rFonts w:ascii="Times New Roman" w:hAnsi="Times New Roman"/>
          <w:i/>
          <w:szCs w:val="28"/>
        </w:rPr>
        <w:t>c</w:t>
      </w:r>
      <w:proofErr w:type="gramEnd"/>
      <w:r>
        <w:rPr>
          <w:rFonts w:ascii="Times New Roman" w:hAnsi="Times New Roman"/>
          <w:b w:val="0"/>
          <w:szCs w:val="28"/>
        </w:rPr>
        <w:t xml:space="preserve">, </w:t>
      </w:r>
      <w:r w:rsidR="00786A9A">
        <w:rPr>
          <w:rFonts w:ascii="Times New Roman" w:hAnsi="Times New Roman"/>
          <w:b w:val="0"/>
          <w:szCs w:val="28"/>
        </w:rPr>
        <w:t xml:space="preserve">a diagram showing </w:t>
      </w:r>
      <w:r>
        <w:rPr>
          <w:rFonts w:ascii="Times New Roman" w:hAnsi="Times New Roman"/>
          <w:b w:val="0"/>
          <w:szCs w:val="28"/>
        </w:rPr>
        <w:t>the pharmaco-metabonomic hypothesis</w:t>
      </w:r>
      <w:r w:rsidR="005635F8">
        <w:rPr>
          <w:rFonts w:ascii="Times New Roman" w:hAnsi="Times New Roman"/>
          <w:b w:val="0"/>
          <w:szCs w:val="28"/>
        </w:rPr>
        <w:t xml:space="preserve">.  </w:t>
      </w:r>
    </w:p>
    <w:p w:rsidR="00D5258A" w:rsidRDefault="00D5258A">
      <w:pPr>
        <w:pStyle w:val="BodyText2"/>
        <w:spacing w:line="480" w:lineRule="auto"/>
        <w:ind w:left="72"/>
        <w:jc w:val="both"/>
        <w:rPr>
          <w:rFonts w:ascii="Times New Roman" w:hAnsi="Times New Roman"/>
          <w:b w:val="0"/>
          <w:szCs w:val="28"/>
        </w:rPr>
      </w:pPr>
    </w:p>
    <w:p w:rsidR="00D5258A" w:rsidRDefault="00D5258A">
      <w:pPr>
        <w:pStyle w:val="BodyText2"/>
        <w:spacing w:line="480" w:lineRule="auto"/>
        <w:jc w:val="both"/>
        <w:rPr>
          <w:rFonts w:ascii="Times New Roman" w:hAnsi="Times New Roman"/>
          <w:b w:val="0"/>
          <w:i/>
        </w:rPr>
      </w:pPr>
      <w:proofErr w:type="gramStart"/>
      <w:r>
        <w:rPr>
          <w:rFonts w:ascii="Times New Roman" w:hAnsi="Times New Roman"/>
        </w:rPr>
        <w:t>Fig. 2</w:t>
      </w:r>
      <w:r>
        <w:rPr>
          <w:rFonts w:ascii="Times New Roman" w:hAnsi="Times New Roman"/>
          <w:b w:val="0"/>
        </w:rPr>
        <w:tab/>
      </w:r>
      <w:r>
        <w:rPr>
          <w:rFonts w:ascii="Times New Roman" w:hAnsi="Times New Roman"/>
          <w:b w:val="0"/>
        </w:rPr>
        <w:tab/>
      </w:r>
      <w:r w:rsidR="00233025">
        <w:rPr>
          <w:rFonts w:ascii="Times New Roman" w:hAnsi="Times New Roman"/>
          <w:b w:val="0"/>
        </w:rPr>
        <w:t xml:space="preserve">Representative </w:t>
      </w:r>
      <w:r>
        <w:rPr>
          <w:rFonts w:ascii="Times New Roman" w:hAnsi="Times New Roman"/>
          <w:b w:val="0"/>
          <w:vertAlign w:val="superscript"/>
        </w:rPr>
        <w:t>1</w:t>
      </w:r>
      <w:r>
        <w:rPr>
          <w:rFonts w:ascii="Times New Roman" w:hAnsi="Times New Roman"/>
          <w:b w:val="0"/>
        </w:rPr>
        <w:t>H NMR spectra.</w:t>
      </w:r>
      <w:proofErr w:type="gramEnd"/>
      <w:r>
        <w:rPr>
          <w:rFonts w:ascii="Times New Roman" w:hAnsi="Times New Roman"/>
          <w:b w:val="0"/>
        </w:rPr>
        <w:t xml:space="preserve">  </w:t>
      </w:r>
      <w:proofErr w:type="gramStart"/>
      <w:r>
        <w:rPr>
          <w:rFonts w:ascii="Times New Roman" w:hAnsi="Times New Roman"/>
          <w:i/>
        </w:rPr>
        <w:t>a</w:t>
      </w:r>
      <w:proofErr w:type="gramEnd"/>
      <w:r>
        <w:rPr>
          <w:rFonts w:ascii="Times New Roman" w:hAnsi="Times New Roman"/>
          <w:b w:val="0"/>
        </w:rPr>
        <w:t xml:space="preserve"> and </w:t>
      </w:r>
      <w:r>
        <w:rPr>
          <w:rFonts w:ascii="Times New Roman" w:hAnsi="Times New Roman"/>
          <w:i/>
        </w:rPr>
        <w:t>b</w:t>
      </w:r>
      <w:r>
        <w:rPr>
          <w:rFonts w:ascii="Times New Roman" w:hAnsi="Times New Roman"/>
          <w:b w:val="0"/>
        </w:rPr>
        <w:t xml:space="preserve">, pre- and post-dose </w:t>
      </w:r>
      <w:r>
        <w:rPr>
          <w:rFonts w:ascii="Times New Roman" w:hAnsi="Times New Roman"/>
          <w:b w:val="0"/>
          <w:vertAlign w:val="superscript"/>
        </w:rPr>
        <w:t>1</w:t>
      </w:r>
      <w:r>
        <w:rPr>
          <w:rFonts w:ascii="Times New Roman" w:hAnsi="Times New Roman"/>
          <w:b w:val="0"/>
        </w:rPr>
        <w:t xml:space="preserve">H NMR spectra, respectively, of 24 h urine samples from a rat dosed with paracetamol (600 mg/kg).  The inset provided in </w:t>
      </w:r>
      <w:proofErr w:type="gramStart"/>
      <w:r>
        <w:rPr>
          <w:rFonts w:ascii="Times New Roman" w:hAnsi="Times New Roman"/>
          <w:i/>
        </w:rPr>
        <w:t>a</w:t>
      </w:r>
      <w:r>
        <w:rPr>
          <w:rFonts w:ascii="Times New Roman" w:hAnsi="Times New Roman"/>
          <w:b w:val="0"/>
        </w:rPr>
        <w:t xml:space="preserve"> is</w:t>
      </w:r>
      <w:proofErr w:type="gramEnd"/>
      <w:r>
        <w:rPr>
          <w:rFonts w:ascii="Times New Roman" w:hAnsi="Times New Roman"/>
          <w:b w:val="0"/>
        </w:rPr>
        <w:t xml:space="preserve"> an expansion of the </w:t>
      </w:r>
      <w:r>
        <w:rPr>
          <w:rFonts w:ascii="Times New Roman" w:hAnsi="Times New Roman"/>
          <w:b w:val="0"/>
        </w:rPr>
        <w:sym w:font="Symbol" w:char="F064"/>
      </w:r>
      <w:r>
        <w:rPr>
          <w:rFonts w:ascii="Times New Roman" w:hAnsi="Times New Roman"/>
          <w:b w:val="0"/>
        </w:rPr>
        <w:t xml:space="preserve"> 1.9 to 1.0 region indicating the complexity of the endogenous profile and the richness of </w:t>
      </w:r>
      <w:r w:rsidR="00FD4A40">
        <w:rPr>
          <w:rFonts w:ascii="Times New Roman" w:hAnsi="Times New Roman"/>
          <w:b w:val="0"/>
        </w:rPr>
        <w:t xml:space="preserve">the </w:t>
      </w:r>
      <w:r>
        <w:rPr>
          <w:rFonts w:ascii="Times New Roman" w:hAnsi="Times New Roman"/>
          <w:b w:val="0"/>
        </w:rPr>
        <w:t>embedded in</w:t>
      </w:r>
      <w:r w:rsidR="000325BE">
        <w:rPr>
          <w:rFonts w:ascii="Times New Roman" w:hAnsi="Times New Roman"/>
          <w:b w:val="0"/>
        </w:rPr>
        <w:t>formation</w:t>
      </w:r>
      <w:r>
        <w:rPr>
          <w:rFonts w:ascii="Times New Roman" w:hAnsi="Times New Roman"/>
          <w:b w:val="0"/>
        </w:rPr>
        <w:t>.</w:t>
      </w:r>
      <w:r>
        <w:rPr>
          <w:rFonts w:ascii="Times New Roman" w:hAnsi="Times New Roman"/>
          <w:b w:val="0"/>
          <w:i/>
        </w:rPr>
        <w:t xml:space="preserve">  </w:t>
      </w:r>
      <w:proofErr w:type="gramStart"/>
      <w:r>
        <w:rPr>
          <w:rFonts w:ascii="Times New Roman" w:hAnsi="Times New Roman"/>
          <w:b w:val="0"/>
          <w:szCs w:val="28"/>
        </w:rPr>
        <w:t>2-OG, 2-oxoglutarate.</w:t>
      </w:r>
      <w:proofErr w:type="gramEnd"/>
      <w:r>
        <w:rPr>
          <w:rFonts w:ascii="Times New Roman" w:hAnsi="Times New Roman"/>
          <w:b w:val="0"/>
          <w:szCs w:val="28"/>
        </w:rPr>
        <w:t xml:space="preserve">  </w:t>
      </w:r>
      <w:proofErr w:type="gramStart"/>
      <w:r>
        <w:rPr>
          <w:rFonts w:ascii="Times New Roman" w:hAnsi="Times New Roman"/>
          <w:b w:val="0"/>
          <w:szCs w:val="28"/>
        </w:rPr>
        <w:t>G, paracetamol glucuronide.</w:t>
      </w:r>
      <w:proofErr w:type="gramEnd"/>
    </w:p>
    <w:p w:rsidR="00D5258A" w:rsidRDefault="00D5258A">
      <w:pPr>
        <w:pStyle w:val="BodyText2"/>
        <w:spacing w:line="480" w:lineRule="auto"/>
        <w:ind w:left="72"/>
        <w:jc w:val="both"/>
        <w:rPr>
          <w:rFonts w:ascii="Times New Roman" w:hAnsi="Times New Roman"/>
          <w:b w:val="0"/>
        </w:rPr>
      </w:pPr>
    </w:p>
    <w:p w:rsidR="00D5258A" w:rsidRDefault="00D5258A">
      <w:pPr>
        <w:pStyle w:val="BodyText2"/>
        <w:spacing w:line="480" w:lineRule="auto"/>
        <w:jc w:val="both"/>
        <w:rPr>
          <w:rFonts w:ascii="Times New Roman" w:hAnsi="Times New Roman"/>
          <w:b w:val="0"/>
        </w:rPr>
      </w:pPr>
      <w:r>
        <w:rPr>
          <w:rFonts w:ascii="Times New Roman" w:hAnsi="Times New Roman"/>
        </w:rPr>
        <w:t>Fig. 3</w:t>
      </w:r>
      <w:r>
        <w:rPr>
          <w:rFonts w:ascii="Times New Roman" w:hAnsi="Times New Roman"/>
        </w:rPr>
        <w:tab/>
      </w:r>
      <w:r>
        <w:rPr>
          <w:rFonts w:ascii="Times New Roman" w:hAnsi="Times New Roman"/>
        </w:rPr>
        <w:tab/>
      </w:r>
      <w:r>
        <w:rPr>
          <w:rFonts w:ascii="Times New Roman" w:hAnsi="Times New Roman"/>
          <w:b w:val="0"/>
        </w:rPr>
        <w:t xml:space="preserve">Pre-dose prediction of the </w:t>
      </w:r>
      <w:r w:rsidR="00B74E64">
        <w:rPr>
          <w:rFonts w:ascii="Times New Roman" w:hAnsi="Times New Roman"/>
          <w:b w:val="0"/>
        </w:rPr>
        <w:t xml:space="preserve">urinary </w:t>
      </w:r>
      <w:r>
        <w:rPr>
          <w:rFonts w:ascii="Times New Roman" w:hAnsi="Times New Roman"/>
          <w:b w:val="0"/>
        </w:rPr>
        <w:t>mole ratio of paracetamol glucuronide to paracetamol (G/P)</w:t>
      </w:r>
      <w:r w:rsidR="00B74E64">
        <w:rPr>
          <w:rFonts w:ascii="Times New Roman" w:hAnsi="Times New Roman"/>
          <w:b w:val="0"/>
        </w:rPr>
        <w:t xml:space="preserve"> obtained in </w:t>
      </w:r>
      <w:r w:rsidR="002045CD">
        <w:rPr>
          <w:rFonts w:ascii="Times New Roman" w:hAnsi="Times New Roman"/>
          <w:b w:val="0"/>
        </w:rPr>
        <w:t xml:space="preserve">paracetamol-dosed </w:t>
      </w:r>
      <w:r w:rsidR="00B74E64">
        <w:rPr>
          <w:rFonts w:ascii="Times New Roman" w:hAnsi="Times New Roman"/>
          <w:b w:val="0"/>
        </w:rPr>
        <w:t>rats</w:t>
      </w:r>
      <w:r w:rsidR="00233025">
        <w:rPr>
          <w:rFonts w:ascii="Times New Roman" w:hAnsi="Times New Roman"/>
          <w:b w:val="0"/>
        </w:rPr>
        <w:t xml:space="preserve">. </w:t>
      </w:r>
      <w:r>
        <w:rPr>
          <w:rFonts w:ascii="Times New Roman" w:hAnsi="Times New Roman"/>
          <w:b w:val="0"/>
        </w:rPr>
        <w:t xml:space="preserve"> </w:t>
      </w:r>
      <w:r>
        <w:rPr>
          <w:rFonts w:ascii="Times New Roman" w:hAnsi="Times New Roman"/>
          <w:i/>
        </w:rPr>
        <w:t>a</w:t>
      </w:r>
      <w:r>
        <w:rPr>
          <w:rFonts w:ascii="Times New Roman" w:hAnsi="Times New Roman"/>
          <w:b w:val="0"/>
        </w:rPr>
        <w:t>, observed vs. predicted G/P values for a two</w:t>
      </w:r>
      <w:r w:rsidR="005A261D">
        <w:rPr>
          <w:rFonts w:ascii="Times New Roman" w:hAnsi="Times New Roman"/>
          <w:b w:val="0"/>
        </w:rPr>
        <w:t>-</w:t>
      </w:r>
      <w:r>
        <w:rPr>
          <w:rFonts w:ascii="Times New Roman" w:hAnsi="Times New Roman"/>
          <w:b w:val="0"/>
        </w:rPr>
        <w:t>component PLS model where all the predictions relate to model</w:t>
      </w:r>
      <w:r w:rsidR="005A261D">
        <w:rPr>
          <w:rFonts w:ascii="Times New Roman" w:hAnsi="Times New Roman"/>
          <w:b w:val="0"/>
        </w:rPr>
        <w:t>-</w:t>
      </w:r>
      <w:r>
        <w:rPr>
          <w:rFonts w:ascii="Times New Roman" w:hAnsi="Times New Roman"/>
          <w:b w:val="0"/>
        </w:rPr>
        <w:t xml:space="preserve">building data.  </w:t>
      </w:r>
      <w:proofErr w:type="gramStart"/>
      <w:r>
        <w:rPr>
          <w:rFonts w:ascii="Times New Roman" w:hAnsi="Times New Roman"/>
          <w:i/>
        </w:rPr>
        <w:t>b</w:t>
      </w:r>
      <w:proofErr w:type="gramEnd"/>
      <w:r>
        <w:rPr>
          <w:rFonts w:ascii="Times New Roman" w:hAnsi="Times New Roman"/>
          <w:b w:val="0"/>
        </w:rPr>
        <w:t xml:space="preserve">, the twelve regions of the pre-dose </w:t>
      </w:r>
      <w:r>
        <w:rPr>
          <w:rFonts w:ascii="Times New Roman" w:hAnsi="Times New Roman"/>
          <w:b w:val="0"/>
          <w:vertAlign w:val="superscript"/>
        </w:rPr>
        <w:t>1</w:t>
      </w:r>
      <w:r>
        <w:rPr>
          <w:rFonts w:ascii="Times New Roman" w:hAnsi="Times New Roman"/>
          <w:b w:val="0"/>
        </w:rPr>
        <w:t xml:space="preserve">H NMR spectra most important to the above model with each of the 0.04 ppm-wide spectral segments identified by the chemical shift at its mid-point.  </w:t>
      </w:r>
      <w:proofErr w:type="gramStart"/>
      <w:r>
        <w:rPr>
          <w:rFonts w:ascii="Times New Roman" w:hAnsi="Times New Roman"/>
          <w:b w:val="0"/>
        </w:rPr>
        <w:t>VIP, variable influence on projection.</w:t>
      </w:r>
      <w:proofErr w:type="gramEnd"/>
      <w:r>
        <w:rPr>
          <w:rFonts w:ascii="Times New Roman" w:hAnsi="Times New Roman"/>
          <w:b w:val="0"/>
        </w:rPr>
        <w:t xml:space="preserve">  </w:t>
      </w:r>
      <w:proofErr w:type="gramStart"/>
      <w:r>
        <w:rPr>
          <w:rFonts w:ascii="Times New Roman" w:hAnsi="Times New Roman"/>
          <w:i/>
          <w:szCs w:val="28"/>
        </w:rPr>
        <w:t>c</w:t>
      </w:r>
      <w:proofErr w:type="gramEnd"/>
      <w:r>
        <w:rPr>
          <w:rFonts w:ascii="Times New Roman" w:hAnsi="Times New Roman"/>
          <w:b w:val="0"/>
        </w:rPr>
        <w:t xml:space="preserve">, internal validation of the above model showing clear decreases in </w:t>
      </w:r>
      <w:r w:rsidR="005A261D" w:rsidRPr="005A261D">
        <w:rPr>
          <w:rFonts w:ascii="Times New Roman" w:hAnsi="Times New Roman"/>
          <w:b w:val="0"/>
          <w:szCs w:val="28"/>
        </w:rPr>
        <w:t>performance</w:t>
      </w:r>
      <w:r>
        <w:rPr>
          <w:rFonts w:ascii="Times New Roman" w:hAnsi="Times New Roman"/>
          <w:b w:val="0"/>
        </w:rPr>
        <w:t xml:space="preserve"> as the G/P data </w:t>
      </w:r>
      <w:r w:rsidR="001E47ED">
        <w:rPr>
          <w:rFonts w:ascii="Times New Roman" w:hAnsi="Times New Roman"/>
          <w:b w:val="0"/>
        </w:rPr>
        <w:t>are</w:t>
      </w:r>
      <w:r>
        <w:rPr>
          <w:rFonts w:ascii="Times New Roman" w:hAnsi="Times New Roman"/>
          <w:b w:val="0"/>
        </w:rPr>
        <w:t xml:space="preserve"> permuted relative to the pre-dose data.    </w:t>
      </w:r>
      <w:proofErr w:type="gramStart"/>
      <w:r>
        <w:rPr>
          <w:rFonts w:ascii="Times New Roman" w:hAnsi="Times New Roman"/>
          <w:i/>
          <w:szCs w:val="28"/>
        </w:rPr>
        <w:t>d</w:t>
      </w:r>
      <w:proofErr w:type="gramEnd"/>
      <w:r>
        <w:rPr>
          <w:rFonts w:ascii="Times New Roman" w:hAnsi="Times New Roman"/>
          <w:b w:val="0"/>
        </w:rPr>
        <w:t xml:space="preserve">,  the result of a 7-round cross-validation </w:t>
      </w:r>
      <w:r>
        <w:rPr>
          <w:rFonts w:ascii="Times New Roman" w:hAnsi="Times New Roman"/>
          <w:b w:val="0"/>
        </w:rPr>
        <w:lastRenderedPageBreak/>
        <w:t>exercise where every point represents test data n</w:t>
      </w:r>
      <w:r w:rsidR="008C339C">
        <w:rPr>
          <w:rFonts w:ascii="Times New Roman" w:hAnsi="Times New Roman"/>
          <w:b w:val="0"/>
        </w:rPr>
        <w:t>ot used in the model-building [</w:t>
      </w:r>
      <w:r>
        <w:rPr>
          <w:rFonts w:ascii="Times New Roman" w:hAnsi="Times New Roman"/>
          <w:b w:val="0"/>
        </w:rPr>
        <w:t>regression line: observed value = (0.89*predicted value) + 0.29</w:t>
      </w:r>
      <w:r w:rsidR="00233025">
        <w:rPr>
          <w:rFonts w:ascii="Times New Roman" w:hAnsi="Times New Roman"/>
          <w:b w:val="0"/>
        </w:rPr>
        <w:t>; root mean square error of predictions = 0.32</w:t>
      </w:r>
      <w:r>
        <w:rPr>
          <w:rFonts w:ascii="Times New Roman" w:hAnsi="Times New Roman"/>
          <w:b w:val="0"/>
        </w:rPr>
        <w:t>].</w:t>
      </w:r>
    </w:p>
    <w:p w:rsidR="00D5258A" w:rsidRDefault="00D5258A">
      <w:pPr>
        <w:pStyle w:val="BodyText2"/>
        <w:spacing w:line="480" w:lineRule="auto"/>
        <w:ind w:left="72"/>
        <w:jc w:val="both"/>
        <w:rPr>
          <w:rFonts w:ascii="Times New Roman" w:hAnsi="Times New Roman"/>
          <w:b w:val="0"/>
        </w:rPr>
      </w:pPr>
    </w:p>
    <w:p w:rsidR="00D5258A" w:rsidRDefault="00D5258A">
      <w:pPr>
        <w:pStyle w:val="BodyText2"/>
        <w:spacing w:line="480" w:lineRule="auto"/>
        <w:jc w:val="both"/>
        <w:rPr>
          <w:rFonts w:ascii="Times New Roman" w:hAnsi="Times New Roman"/>
          <w:b w:val="0"/>
        </w:rPr>
      </w:pPr>
      <w:proofErr w:type="gramStart"/>
      <w:r>
        <w:rPr>
          <w:rFonts w:ascii="Times New Roman" w:hAnsi="Times New Roman"/>
        </w:rPr>
        <w:t>Fig. 4</w:t>
      </w:r>
      <w:r>
        <w:rPr>
          <w:rFonts w:ascii="Times New Roman" w:hAnsi="Times New Roman"/>
          <w:b w:val="0"/>
        </w:rPr>
        <w:tab/>
      </w:r>
      <w:r>
        <w:rPr>
          <w:rFonts w:ascii="Times New Roman" w:hAnsi="Times New Roman"/>
          <w:b w:val="0"/>
        </w:rPr>
        <w:tab/>
        <w:t>Pre-dose discrimination of the</w:t>
      </w:r>
      <w:r w:rsidR="000766A3">
        <w:rPr>
          <w:rFonts w:ascii="Times New Roman" w:hAnsi="Times New Roman"/>
          <w:b w:val="0"/>
        </w:rPr>
        <w:t xml:space="preserve"> degree of </w:t>
      </w:r>
      <w:r>
        <w:rPr>
          <w:rFonts w:ascii="Times New Roman" w:hAnsi="Times New Roman"/>
          <w:b w:val="0"/>
        </w:rPr>
        <w:t xml:space="preserve">liver damage obtained in </w:t>
      </w:r>
      <w:r w:rsidR="002045CD">
        <w:rPr>
          <w:rFonts w:ascii="Times New Roman" w:hAnsi="Times New Roman"/>
          <w:b w:val="0"/>
        </w:rPr>
        <w:t xml:space="preserve">paracetamol-dosed </w:t>
      </w:r>
      <w:r>
        <w:rPr>
          <w:rFonts w:ascii="Times New Roman" w:hAnsi="Times New Roman"/>
          <w:b w:val="0"/>
        </w:rPr>
        <w:t>rats.</w:t>
      </w:r>
      <w:proofErr w:type="gramEnd"/>
      <w:r>
        <w:rPr>
          <w:rFonts w:ascii="Times New Roman" w:hAnsi="Times New Roman"/>
          <w:b w:val="0"/>
        </w:rPr>
        <w:t xml:space="preserve">  </w:t>
      </w:r>
      <w:proofErr w:type="gramStart"/>
      <w:r>
        <w:rPr>
          <w:rFonts w:ascii="Times New Roman" w:hAnsi="Times New Roman"/>
          <w:i/>
          <w:szCs w:val="28"/>
        </w:rPr>
        <w:t>a</w:t>
      </w:r>
      <w:proofErr w:type="gramEnd"/>
      <w:r>
        <w:rPr>
          <w:rFonts w:ascii="Times New Roman" w:hAnsi="Times New Roman"/>
          <w:b w:val="0"/>
          <w:szCs w:val="28"/>
        </w:rPr>
        <w:t xml:space="preserve">, </w:t>
      </w:r>
      <w:r>
        <w:rPr>
          <w:rFonts w:ascii="Times New Roman" w:hAnsi="Times New Roman"/>
          <w:b w:val="0"/>
        </w:rPr>
        <w:t xml:space="preserve">a scores </w:t>
      </w:r>
      <w:r>
        <w:rPr>
          <w:rFonts w:ascii="Times New Roman" w:hAnsi="Times New Roman"/>
          <w:b w:val="0"/>
          <w:szCs w:val="28"/>
        </w:rPr>
        <w:t>plot</w:t>
      </w:r>
      <w:r>
        <w:rPr>
          <w:rFonts w:ascii="Times New Roman" w:hAnsi="Times New Roman"/>
          <w:b w:val="0"/>
        </w:rPr>
        <w:t xml:space="preserve"> from a PCA of the pre-dose NMR data</w:t>
      </w:r>
      <w:r w:rsidR="002045CD">
        <w:rPr>
          <w:rFonts w:ascii="Times New Roman" w:hAnsi="Times New Roman"/>
          <w:b w:val="0"/>
        </w:rPr>
        <w:t>. E</w:t>
      </w:r>
      <w:r>
        <w:rPr>
          <w:rFonts w:ascii="Times New Roman" w:hAnsi="Times New Roman"/>
          <w:b w:val="0"/>
        </w:rPr>
        <w:t xml:space="preserve">ach point </w:t>
      </w:r>
      <w:r w:rsidR="00644A83">
        <w:rPr>
          <w:rFonts w:ascii="Times New Roman" w:hAnsi="Times New Roman"/>
          <w:b w:val="0"/>
        </w:rPr>
        <w:t>represents</w:t>
      </w:r>
      <w:r w:rsidR="00B74E64">
        <w:rPr>
          <w:rFonts w:ascii="Times New Roman" w:hAnsi="Times New Roman"/>
          <w:b w:val="0"/>
        </w:rPr>
        <w:t xml:space="preserve"> an individual rat and </w:t>
      </w:r>
      <w:r w:rsidR="002045CD">
        <w:rPr>
          <w:rFonts w:ascii="Times New Roman" w:hAnsi="Times New Roman"/>
          <w:b w:val="0"/>
        </w:rPr>
        <w:t xml:space="preserve">is </w:t>
      </w:r>
      <w:r>
        <w:rPr>
          <w:rFonts w:ascii="Times New Roman" w:hAnsi="Times New Roman"/>
          <w:b w:val="0"/>
        </w:rPr>
        <w:t xml:space="preserve">colour-coded </w:t>
      </w:r>
      <w:r w:rsidR="00B74E64">
        <w:rPr>
          <w:rFonts w:ascii="Times New Roman" w:hAnsi="Times New Roman"/>
          <w:b w:val="0"/>
        </w:rPr>
        <w:t>by</w:t>
      </w:r>
      <w:r>
        <w:rPr>
          <w:rFonts w:ascii="Times New Roman" w:hAnsi="Times New Roman"/>
          <w:b w:val="0"/>
        </w:rPr>
        <w:t xml:space="preserve"> </w:t>
      </w:r>
      <w:r w:rsidR="008B3A25">
        <w:rPr>
          <w:rFonts w:ascii="Times New Roman" w:hAnsi="Times New Roman"/>
          <w:b w:val="0"/>
        </w:rPr>
        <w:t xml:space="preserve">its </w:t>
      </w:r>
      <w:r>
        <w:rPr>
          <w:rFonts w:ascii="Times New Roman" w:hAnsi="Times New Roman"/>
          <w:b w:val="0"/>
        </w:rPr>
        <w:t>histology class (</w:t>
      </w:r>
      <w:r w:rsidR="00A9332D">
        <w:rPr>
          <w:rFonts w:ascii="Times New Roman" w:hAnsi="Times New Roman"/>
          <w:b w:val="0"/>
        </w:rPr>
        <w:t>s</w:t>
      </w:r>
      <w:r>
        <w:rPr>
          <w:rFonts w:ascii="Times New Roman" w:hAnsi="Times New Roman"/>
          <w:b w:val="0"/>
        </w:rPr>
        <w:t>ee Table 1</w:t>
      </w:r>
      <w:r w:rsidR="00A9332D">
        <w:rPr>
          <w:rFonts w:ascii="Times New Roman" w:hAnsi="Times New Roman"/>
          <w:b w:val="0"/>
        </w:rPr>
        <w:t>)</w:t>
      </w:r>
      <w:r>
        <w:rPr>
          <w:rFonts w:ascii="Times New Roman" w:hAnsi="Times New Roman"/>
          <w:b w:val="0"/>
        </w:rPr>
        <w:t xml:space="preserve">.  </w:t>
      </w:r>
      <w:proofErr w:type="gramStart"/>
      <w:r>
        <w:rPr>
          <w:rFonts w:ascii="Times New Roman" w:hAnsi="Times New Roman"/>
          <w:i/>
          <w:szCs w:val="28"/>
        </w:rPr>
        <w:t>b</w:t>
      </w:r>
      <w:proofErr w:type="gramEnd"/>
      <w:r>
        <w:rPr>
          <w:rFonts w:ascii="Times New Roman" w:hAnsi="Times New Roman"/>
          <w:b w:val="0"/>
        </w:rPr>
        <w:t xml:space="preserve">, a plot of mean histology score (MHS) vs. the PC2 score obtained from the above PCA, with colour-coding as </w:t>
      </w:r>
      <w:r w:rsidR="00641670">
        <w:rPr>
          <w:rFonts w:ascii="Times New Roman" w:hAnsi="Times New Roman"/>
          <w:b w:val="0"/>
          <w:szCs w:val="28"/>
        </w:rPr>
        <w:t>before</w:t>
      </w:r>
      <w:r>
        <w:rPr>
          <w:rFonts w:ascii="Times New Roman" w:hAnsi="Times New Roman"/>
          <w:b w:val="0"/>
        </w:rPr>
        <w:t xml:space="preserve">.  </w:t>
      </w:r>
      <w:proofErr w:type="gramStart"/>
      <w:r>
        <w:rPr>
          <w:rFonts w:ascii="Times New Roman" w:hAnsi="Times New Roman"/>
          <w:i/>
          <w:szCs w:val="28"/>
        </w:rPr>
        <w:t>c</w:t>
      </w:r>
      <w:proofErr w:type="gramEnd"/>
      <w:r>
        <w:rPr>
          <w:rFonts w:ascii="Times New Roman" w:hAnsi="Times New Roman"/>
          <w:b w:val="0"/>
        </w:rPr>
        <w:t xml:space="preserve">,  a scores </w:t>
      </w:r>
      <w:r>
        <w:rPr>
          <w:rFonts w:ascii="Times New Roman" w:hAnsi="Times New Roman"/>
          <w:b w:val="0"/>
          <w:szCs w:val="28"/>
        </w:rPr>
        <w:t>plot</w:t>
      </w:r>
      <w:r>
        <w:rPr>
          <w:rFonts w:ascii="Times New Roman" w:hAnsi="Times New Roman"/>
          <w:b w:val="0"/>
        </w:rPr>
        <w:t xml:space="preserve"> from a PCA of the pre-dose NMR data for rats in histology classes 1 and 3</w:t>
      </w:r>
      <w:r w:rsidR="000766A3">
        <w:rPr>
          <w:rFonts w:ascii="Times New Roman" w:hAnsi="Times New Roman"/>
          <w:b w:val="0"/>
        </w:rPr>
        <w:t>.  Ea</w:t>
      </w:r>
      <w:r w:rsidR="00B74E64">
        <w:rPr>
          <w:rFonts w:ascii="Times New Roman" w:hAnsi="Times New Roman"/>
          <w:b w:val="0"/>
        </w:rPr>
        <w:t xml:space="preserve">ch point </w:t>
      </w:r>
      <w:r w:rsidR="00644A83">
        <w:rPr>
          <w:rFonts w:ascii="Times New Roman" w:hAnsi="Times New Roman"/>
          <w:b w:val="0"/>
        </w:rPr>
        <w:t>represents</w:t>
      </w:r>
      <w:r w:rsidR="00B74E64">
        <w:rPr>
          <w:rFonts w:ascii="Times New Roman" w:hAnsi="Times New Roman"/>
          <w:b w:val="0"/>
        </w:rPr>
        <w:t xml:space="preserve"> an individual rat </w:t>
      </w:r>
      <w:r w:rsidR="00641670">
        <w:rPr>
          <w:rFonts w:ascii="Times New Roman" w:hAnsi="Times New Roman"/>
          <w:b w:val="0"/>
        </w:rPr>
        <w:t>with</w:t>
      </w:r>
      <w:r w:rsidR="002045CD">
        <w:rPr>
          <w:rFonts w:ascii="Times New Roman" w:hAnsi="Times New Roman"/>
          <w:b w:val="0"/>
        </w:rPr>
        <w:t xml:space="preserve"> </w:t>
      </w:r>
      <w:r>
        <w:rPr>
          <w:rFonts w:ascii="Times New Roman" w:hAnsi="Times New Roman"/>
          <w:b w:val="0"/>
        </w:rPr>
        <w:t>colour-co</w:t>
      </w:r>
      <w:r w:rsidR="00641670">
        <w:rPr>
          <w:rFonts w:ascii="Times New Roman" w:hAnsi="Times New Roman"/>
          <w:b w:val="0"/>
        </w:rPr>
        <w:t>ding</w:t>
      </w:r>
      <w:r>
        <w:rPr>
          <w:rFonts w:ascii="Times New Roman" w:hAnsi="Times New Roman"/>
          <w:b w:val="0"/>
        </w:rPr>
        <w:t xml:space="preserve"> as </w:t>
      </w:r>
      <w:r w:rsidR="00263CA9">
        <w:rPr>
          <w:rFonts w:ascii="Times New Roman" w:hAnsi="Times New Roman"/>
          <w:b w:val="0"/>
          <w:szCs w:val="28"/>
        </w:rPr>
        <w:t>before</w:t>
      </w:r>
      <w:r>
        <w:rPr>
          <w:rFonts w:ascii="Times New Roman" w:hAnsi="Times New Roman"/>
          <w:b w:val="0"/>
        </w:rPr>
        <w:t xml:space="preserve">.  </w:t>
      </w:r>
      <w:proofErr w:type="gramStart"/>
      <w:r>
        <w:rPr>
          <w:rFonts w:ascii="Times New Roman" w:hAnsi="Times New Roman"/>
          <w:i/>
        </w:rPr>
        <w:t>d</w:t>
      </w:r>
      <w:proofErr w:type="gramEnd"/>
      <w:r>
        <w:rPr>
          <w:rFonts w:ascii="Times New Roman" w:hAnsi="Times New Roman"/>
          <w:b w:val="0"/>
        </w:rPr>
        <w:t>, a loadings plot corresponding to Fig. 4</w:t>
      </w:r>
      <w:r>
        <w:rPr>
          <w:rFonts w:ascii="Times New Roman" w:hAnsi="Times New Roman"/>
          <w:b w:val="0"/>
          <w:i/>
          <w:szCs w:val="28"/>
        </w:rPr>
        <w:t>c</w:t>
      </w:r>
      <w:r>
        <w:rPr>
          <w:rFonts w:ascii="Times New Roman" w:hAnsi="Times New Roman"/>
          <w:b w:val="0"/>
        </w:rPr>
        <w:t xml:space="preserve">, showing the principal contributions to PC2 and the direction of each contribution. Individual 0.04 ppm-wide spectral regions are identified by the chemical shifts at their mid-points whilst variables corresponding to particular compounds are identified by name (TAU, taurine; CITR, citrate; OXOG, 2-oxoglutarate; TMAO, trimethylamine-N-oxide; BET, betaine; 2TAU indicates doubling of the TAU values). </w:t>
      </w:r>
    </w:p>
    <w:p w:rsidR="00D5258A" w:rsidRDefault="00D5258A">
      <w:pPr>
        <w:pStyle w:val="BodyText2"/>
        <w:spacing w:line="480" w:lineRule="auto"/>
        <w:jc w:val="both"/>
        <w:rPr>
          <w:rFonts w:ascii="Times New Roman" w:hAnsi="Times New Roman"/>
          <w:b w:val="0"/>
        </w:rPr>
      </w:pPr>
    </w:p>
    <w:p w:rsidR="00D5258A" w:rsidRDefault="00D5258A"/>
    <w:p w:rsidR="00D5258A" w:rsidRDefault="00D5258A"/>
    <w:p w:rsidR="00D5258A" w:rsidRDefault="00D5258A"/>
    <w:p w:rsidR="00D5258A" w:rsidRDefault="00D5258A"/>
    <w:p w:rsidR="00D5258A" w:rsidRDefault="00D5258A"/>
    <w:sectPr w:rsidR="00D5258A">
      <w:footerReference w:type="even" r:id="rId8"/>
      <w:pgSz w:w="11899" w:h="16838"/>
      <w:pgMar w:top="1152" w:right="1008" w:bottom="1152" w:left="100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15EF" w:rsidRDefault="005015EF">
      <w:r>
        <w:separator/>
      </w:r>
    </w:p>
  </w:endnote>
  <w:endnote w:type="continuationSeparator" w:id="0">
    <w:p w:rsidR="005015EF" w:rsidRDefault="005015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New York">
    <w:panose1 w:val="020405030605060203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BA8" w:rsidRDefault="00D21B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21BA8" w:rsidRDefault="00D21B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15EF" w:rsidRDefault="005015EF">
      <w:r>
        <w:separator/>
      </w:r>
    </w:p>
  </w:footnote>
  <w:footnote w:type="continuationSeparator" w:id="0">
    <w:p w:rsidR="005015EF" w:rsidRDefault="005015EF">
      <w:r>
        <w:continuationSeparator/>
      </w:r>
    </w:p>
  </w:footnote>
  <w:footnote w:id="1">
    <w:p w:rsidR="00D21BA8" w:rsidRDefault="00D21BA8">
      <w:pPr>
        <w:ind w:left="72"/>
        <w:jc w:val="both"/>
        <w:rPr>
          <w:rFonts w:ascii="Arial" w:hAnsi="Arial"/>
          <w:color w:val="000000"/>
          <w:sz w:val="20"/>
        </w:rPr>
      </w:pPr>
      <w:r>
        <w:rPr>
          <w:rStyle w:val="FootnoteReference"/>
          <w:rFonts w:ascii="Arial" w:hAnsi="Arial"/>
          <w:sz w:val="20"/>
        </w:rPr>
        <w:footnoteRef/>
      </w:r>
      <w:r>
        <w:rPr>
          <w:rFonts w:ascii="Arial" w:hAnsi="Arial"/>
          <w:color w:val="000000"/>
          <w:sz w:val="20"/>
        </w:rPr>
        <w:t xml:space="preserve">Biological Chemistry, Biomedical Sciences Division, Faculty of Life Sciences, Sir Alexander Fleming Building, Imperial College London, South Kensington, London, SW7 2AZ, United Kingdom.  </w:t>
      </w:r>
      <w:proofErr w:type="gramStart"/>
      <w:r>
        <w:rPr>
          <w:rFonts w:ascii="Arial" w:hAnsi="Arial"/>
          <w:color w:val="000000"/>
          <w:sz w:val="20"/>
          <w:vertAlign w:val="superscript"/>
        </w:rPr>
        <w:t>2</w:t>
      </w:r>
      <w:r>
        <w:rPr>
          <w:rFonts w:ascii="Arial" w:hAnsi="Arial"/>
          <w:color w:val="000000"/>
          <w:sz w:val="20"/>
        </w:rPr>
        <w:t xml:space="preserve">Department of Chemistry, </w:t>
      </w:r>
      <w:smartTag w:uri="urn:schemas-microsoft-com:office:smarttags" w:element="PlaceName">
        <w:r>
          <w:rPr>
            <w:rFonts w:ascii="Arial" w:hAnsi="Arial"/>
            <w:color w:val="000000"/>
            <w:sz w:val="20"/>
          </w:rPr>
          <w:t>Umeå</w:t>
        </w:r>
      </w:smartTag>
      <w:r>
        <w:rPr>
          <w:rFonts w:ascii="Arial" w:hAnsi="Arial"/>
          <w:color w:val="000000"/>
          <w:sz w:val="20"/>
        </w:rPr>
        <w:t xml:space="preserve"> </w:t>
      </w:r>
      <w:smartTag w:uri="urn:schemas-microsoft-com:office:smarttags" w:element="PlaceType">
        <w:r>
          <w:rPr>
            <w:rFonts w:ascii="Arial" w:hAnsi="Arial"/>
            <w:color w:val="000000"/>
            <w:sz w:val="20"/>
          </w:rPr>
          <w:t>University</w:t>
        </w:r>
      </w:smartTag>
      <w:r>
        <w:rPr>
          <w:rFonts w:ascii="Arial" w:hAnsi="Arial"/>
          <w:color w:val="000000"/>
          <w:sz w:val="20"/>
        </w:rPr>
        <w:t xml:space="preserve">, 901 87 Umeå, </w:t>
      </w:r>
      <w:smartTag w:uri="urn:schemas-microsoft-com:office:smarttags" w:element="place">
        <w:smartTag w:uri="urn:schemas-microsoft-com:office:smarttags" w:element="country-region">
          <w:r>
            <w:rPr>
              <w:rFonts w:ascii="Arial" w:hAnsi="Arial"/>
              <w:color w:val="000000"/>
              <w:sz w:val="20"/>
            </w:rPr>
            <w:t>Sweden</w:t>
          </w:r>
        </w:smartTag>
      </w:smartTag>
      <w:r>
        <w:rPr>
          <w:rFonts w:ascii="Arial" w:hAnsi="Arial"/>
          <w:i/>
          <w:color w:val="000000"/>
          <w:sz w:val="20"/>
        </w:rPr>
        <w:t>.</w:t>
      </w:r>
      <w:proofErr w:type="gramEnd"/>
      <w:r>
        <w:rPr>
          <w:rFonts w:ascii="Arial" w:hAnsi="Arial"/>
          <w:color w:val="000000"/>
          <w:sz w:val="20"/>
        </w:rPr>
        <w:t xml:space="preserve">  </w:t>
      </w:r>
      <w:proofErr w:type="gramStart"/>
      <w:r>
        <w:rPr>
          <w:rFonts w:ascii="Arial" w:hAnsi="Arial"/>
          <w:color w:val="000000"/>
          <w:sz w:val="20"/>
          <w:vertAlign w:val="superscript"/>
        </w:rPr>
        <w:t>3</w:t>
      </w:r>
      <w:r>
        <w:rPr>
          <w:rFonts w:ascii="Arial" w:hAnsi="Arial"/>
          <w:color w:val="000000"/>
          <w:sz w:val="20"/>
        </w:rPr>
        <w:t xml:space="preserve">Pfizer Global Research &amp; Development, Centre de Recherche, 37401 </w:t>
      </w:r>
      <w:smartTag w:uri="urn:schemas-microsoft-com:office:smarttags" w:element="City">
        <w:r>
          <w:rPr>
            <w:rFonts w:ascii="Arial" w:hAnsi="Arial"/>
            <w:color w:val="000000"/>
            <w:sz w:val="20"/>
          </w:rPr>
          <w:t>Amboise</w:t>
        </w:r>
      </w:smartTag>
      <w:r>
        <w:rPr>
          <w:rFonts w:ascii="Arial" w:hAnsi="Arial"/>
          <w:color w:val="000000"/>
          <w:sz w:val="20"/>
        </w:rPr>
        <w:t xml:space="preserve"> </w:t>
      </w:r>
      <w:smartTag w:uri="urn:schemas-microsoft-com:office:smarttags" w:element="place">
        <w:smartTag w:uri="urn:schemas-microsoft-com:office:smarttags" w:element="City">
          <w:r>
            <w:rPr>
              <w:rFonts w:ascii="Arial" w:hAnsi="Arial"/>
              <w:color w:val="000000"/>
              <w:sz w:val="20"/>
            </w:rPr>
            <w:t>Cedex</w:t>
          </w:r>
        </w:smartTag>
        <w:r>
          <w:rPr>
            <w:rFonts w:ascii="Arial" w:hAnsi="Arial"/>
            <w:color w:val="000000"/>
            <w:sz w:val="20"/>
          </w:rPr>
          <w:t xml:space="preserve">, </w:t>
        </w:r>
        <w:smartTag w:uri="urn:schemas-microsoft-com:office:smarttags" w:element="country-region">
          <w:r>
            <w:rPr>
              <w:rFonts w:ascii="Arial" w:hAnsi="Arial"/>
              <w:color w:val="000000"/>
              <w:sz w:val="20"/>
            </w:rPr>
            <w:t>France</w:t>
          </w:r>
        </w:smartTag>
      </w:smartTag>
      <w:r>
        <w:rPr>
          <w:rFonts w:ascii="Arial" w:hAnsi="Arial"/>
          <w:color w:val="000000"/>
          <w:sz w:val="20"/>
        </w:rPr>
        <w:t>.</w:t>
      </w:r>
      <w:proofErr w:type="gramEnd"/>
      <w:r>
        <w:rPr>
          <w:rFonts w:ascii="Arial" w:hAnsi="Arial"/>
          <w:color w:val="000000"/>
          <w:sz w:val="20"/>
        </w:rPr>
        <w:t xml:space="preserve">  </w:t>
      </w:r>
      <w:proofErr w:type="gramStart"/>
      <w:r>
        <w:rPr>
          <w:rFonts w:ascii="Arial" w:hAnsi="Arial"/>
          <w:color w:val="000000"/>
          <w:sz w:val="20"/>
          <w:vertAlign w:val="superscript"/>
        </w:rPr>
        <w:t>4</w:t>
      </w:r>
      <w:r>
        <w:rPr>
          <w:rFonts w:ascii="Arial" w:hAnsi="Arial"/>
          <w:color w:val="000000"/>
          <w:sz w:val="20"/>
        </w:rPr>
        <w:t xml:space="preserve">Pfizer Inc., </w:t>
      </w:r>
      <w:smartTag w:uri="urn:schemas-microsoft-com:office:smarttags" w:element="place">
        <w:r>
          <w:rPr>
            <w:rFonts w:ascii="Arial" w:hAnsi="Arial"/>
            <w:color w:val="000000"/>
            <w:sz w:val="20"/>
          </w:rPr>
          <w:t xml:space="preserve">2800 Plymouth Road, </w:t>
        </w:r>
        <w:smartTag w:uri="urn:schemas-microsoft-com:office:smarttags" w:element="City">
          <w:r>
            <w:rPr>
              <w:rFonts w:ascii="Arial" w:hAnsi="Arial"/>
              <w:color w:val="000000"/>
              <w:sz w:val="20"/>
            </w:rPr>
            <w:t>Ann Arbor</w:t>
          </w:r>
        </w:smartTag>
        <w:r>
          <w:rPr>
            <w:rFonts w:ascii="Arial" w:hAnsi="Arial"/>
            <w:color w:val="000000"/>
            <w:sz w:val="20"/>
          </w:rPr>
          <w:t xml:space="preserve">, </w:t>
        </w:r>
        <w:smartTag w:uri="urn:schemas-microsoft-com:office:smarttags" w:element="State">
          <w:r>
            <w:rPr>
              <w:rFonts w:ascii="Arial" w:hAnsi="Arial"/>
              <w:color w:val="000000"/>
              <w:sz w:val="20"/>
            </w:rPr>
            <w:t>MI</w:t>
          </w:r>
        </w:smartTag>
        <w:r>
          <w:rPr>
            <w:rFonts w:ascii="Arial" w:hAnsi="Arial"/>
            <w:color w:val="000000"/>
            <w:sz w:val="20"/>
          </w:rPr>
          <w:t xml:space="preserve"> </w:t>
        </w:r>
        <w:smartTag w:uri="urn:schemas-microsoft-com:office:smarttags" w:element="PostalCode">
          <w:r>
            <w:rPr>
              <w:rFonts w:ascii="Arial" w:hAnsi="Arial"/>
              <w:color w:val="000000"/>
              <w:sz w:val="20"/>
            </w:rPr>
            <w:t>48105</w:t>
          </w:r>
        </w:smartTag>
        <w:r>
          <w:rPr>
            <w:rFonts w:ascii="Arial" w:hAnsi="Arial"/>
            <w:color w:val="000000"/>
            <w:sz w:val="20"/>
          </w:rPr>
          <w:t xml:space="preserve">, </w:t>
        </w:r>
        <w:smartTag w:uri="urn:schemas-microsoft-com:office:smarttags" w:element="country-region">
          <w:r>
            <w:rPr>
              <w:rFonts w:ascii="Arial" w:hAnsi="Arial"/>
              <w:color w:val="000000"/>
              <w:sz w:val="20"/>
            </w:rPr>
            <w:t>U.S.A.</w:t>
          </w:r>
        </w:smartTag>
      </w:smartTag>
      <w:proofErr w:type="gramEnd"/>
      <w:r>
        <w:rPr>
          <w:rFonts w:ascii="Arial" w:hAnsi="Arial"/>
          <w:color w:val="000000"/>
          <w:sz w:val="20"/>
        </w:rPr>
        <w:t xml:space="preserve">  </w:t>
      </w:r>
      <w:proofErr w:type="gramStart"/>
      <w:r>
        <w:rPr>
          <w:rFonts w:ascii="Arial" w:hAnsi="Arial"/>
          <w:color w:val="000000"/>
          <w:sz w:val="20"/>
          <w:vertAlign w:val="superscript"/>
        </w:rPr>
        <w:t>5</w:t>
      </w:r>
      <w:r>
        <w:rPr>
          <w:rFonts w:ascii="Arial" w:hAnsi="Arial"/>
          <w:color w:val="000000"/>
          <w:sz w:val="20"/>
        </w:rPr>
        <w:t xml:space="preserve">Pfizer Global Research &amp; Development, Ramsgate Road, Sandwich, </w:t>
      </w:r>
      <w:smartTag w:uri="urn:schemas-microsoft-com:office:smarttags" w:element="City">
        <w:r>
          <w:rPr>
            <w:rFonts w:ascii="Arial" w:hAnsi="Arial"/>
            <w:color w:val="000000"/>
            <w:sz w:val="20"/>
          </w:rPr>
          <w:t>Kent</w:t>
        </w:r>
      </w:smartTag>
      <w:r>
        <w:rPr>
          <w:rFonts w:ascii="Arial" w:hAnsi="Arial"/>
          <w:color w:val="000000"/>
          <w:sz w:val="20"/>
        </w:rPr>
        <w:t xml:space="preserve">, </w:t>
      </w:r>
      <w:smartTag w:uri="urn:schemas-microsoft-com:office:smarttags" w:element="PostalCode">
        <w:r>
          <w:rPr>
            <w:rFonts w:ascii="Arial" w:hAnsi="Arial"/>
            <w:color w:val="000000"/>
            <w:sz w:val="20"/>
          </w:rPr>
          <w:t>CT13 9NJ</w:t>
        </w:r>
      </w:smartTag>
      <w:r>
        <w:rPr>
          <w:rFonts w:ascii="Arial" w:hAnsi="Arial"/>
          <w:color w:val="000000"/>
          <w:sz w:val="20"/>
        </w:rPr>
        <w:t xml:space="preserve">, </w:t>
      </w:r>
      <w:smartTag w:uri="urn:schemas-microsoft-com:office:smarttags" w:element="place">
        <w:smartTag w:uri="urn:schemas-microsoft-com:office:smarttags" w:element="country-region">
          <w:r>
            <w:rPr>
              <w:rFonts w:ascii="Arial" w:hAnsi="Arial"/>
              <w:color w:val="000000"/>
              <w:sz w:val="20"/>
            </w:rPr>
            <w:t>United Kingdom</w:t>
          </w:r>
        </w:smartTag>
      </w:smartTag>
      <w:r>
        <w:rPr>
          <w:rFonts w:ascii="Arial" w:hAnsi="Arial"/>
          <w:color w:val="000000"/>
          <w:sz w:val="20"/>
        </w:rPr>
        <w:t>.</w:t>
      </w:r>
      <w:proofErr w:type="gramEnd"/>
      <w:r>
        <w:rPr>
          <w:rFonts w:ascii="Arial" w:hAnsi="Arial"/>
          <w:color w:val="000000"/>
          <w:sz w:val="20"/>
        </w:rPr>
        <w:t xml:space="preserve"> </w:t>
      </w:r>
    </w:p>
    <w:p w:rsidR="00D21BA8" w:rsidRDefault="00D21BA8">
      <w:pPr>
        <w:pStyle w:val="Footer"/>
        <w:rPr>
          <w:rFonts w:ascii="Arial" w:hAnsi="Arial"/>
          <w:sz w:val="20"/>
        </w:rPr>
      </w:pPr>
    </w:p>
    <w:p w:rsidR="00D21BA8" w:rsidRDefault="00D21BA8">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514A0"/>
    <w:multiLevelType w:val="hybridMultilevel"/>
    <w:tmpl w:val="A788BED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
    <w:nsid w:val="14675FC5"/>
    <w:multiLevelType w:val="multilevel"/>
    <w:tmpl w:val="C9BCED2C"/>
    <w:lvl w:ilvl="0">
      <w:start w:val="1"/>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14BA548C"/>
    <w:multiLevelType w:val="hybridMultilevel"/>
    <w:tmpl w:val="9D4009AA"/>
    <w:lvl w:ilvl="0">
      <w:start w:val="9"/>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2A1406B7"/>
    <w:multiLevelType w:val="hybridMultilevel"/>
    <w:tmpl w:val="B646255C"/>
    <w:lvl w:ilvl="0">
      <w:start w:val="1"/>
      <w:numFmt w:val="bullet"/>
      <w:lvlText w:val=""/>
      <w:lvlJc w:val="left"/>
      <w:pPr>
        <w:tabs>
          <w:tab w:val="num" w:pos="792"/>
        </w:tabs>
        <w:ind w:left="792" w:hanging="360"/>
      </w:pPr>
      <w:rPr>
        <w:rFonts w:ascii="Symbol" w:hAnsi="Symbol" w:hint="default"/>
        <w:color w:val="0000FF"/>
      </w:rPr>
    </w:lvl>
    <w:lvl w:ilvl="1" w:tentative="1">
      <w:start w:val="1"/>
      <w:numFmt w:val="bullet"/>
      <w:lvlText w:val="o"/>
      <w:lvlJc w:val="left"/>
      <w:pPr>
        <w:tabs>
          <w:tab w:val="num" w:pos="1512"/>
        </w:tabs>
        <w:ind w:left="1512" w:hanging="360"/>
      </w:pPr>
      <w:rPr>
        <w:rFonts w:ascii="Courier New" w:hAnsi="Courier New" w:hint="default"/>
      </w:rPr>
    </w:lvl>
    <w:lvl w:ilvl="2" w:tentative="1">
      <w:start w:val="1"/>
      <w:numFmt w:val="bullet"/>
      <w:lvlText w:val=""/>
      <w:lvlJc w:val="left"/>
      <w:pPr>
        <w:tabs>
          <w:tab w:val="num" w:pos="2232"/>
        </w:tabs>
        <w:ind w:left="2232" w:hanging="360"/>
      </w:pPr>
      <w:rPr>
        <w:rFonts w:ascii="Wingdings" w:hAnsi="Wingdings" w:hint="default"/>
      </w:rPr>
    </w:lvl>
    <w:lvl w:ilvl="3" w:tentative="1">
      <w:start w:val="1"/>
      <w:numFmt w:val="bullet"/>
      <w:lvlText w:val=""/>
      <w:lvlJc w:val="left"/>
      <w:pPr>
        <w:tabs>
          <w:tab w:val="num" w:pos="2952"/>
        </w:tabs>
        <w:ind w:left="2952" w:hanging="360"/>
      </w:pPr>
      <w:rPr>
        <w:rFonts w:ascii="Symbol" w:hAnsi="Symbol" w:hint="default"/>
      </w:rPr>
    </w:lvl>
    <w:lvl w:ilvl="4" w:tentative="1">
      <w:start w:val="1"/>
      <w:numFmt w:val="bullet"/>
      <w:lvlText w:val="o"/>
      <w:lvlJc w:val="left"/>
      <w:pPr>
        <w:tabs>
          <w:tab w:val="num" w:pos="3672"/>
        </w:tabs>
        <w:ind w:left="3672" w:hanging="360"/>
      </w:pPr>
      <w:rPr>
        <w:rFonts w:ascii="Courier New" w:hAnsi="Courier New" w:hint="default"/>
      </w:rPr>
    </w:lvl>
    <w:lvl w:ilvl="5" w:tentative="1">
      <w:start w:val="1"/>
      <w:numFmt w:val="bullet"/>
      <w:lvlText w:val=""/>
      <w:lvlJc w:val="left"/>
      <w:pPr>
        <w:tabs>
          <w:tab w:val="num" w:pos="4392"/>
        </w:tabs>
        <w:ind w:left="4392" w:hanging="360"/>
      </w:pPr>
      <w:rPr>
        <w:rFonts w:ascii="Wingdings" w:hAnsi="Wingdings" w:hint="default"/>
      </w:rPr>
    </w:lvl>
    <w:lvl w:ilvl="6" w:tentative="1">
      <w:start w:val="1"/>
      <w:numFmt w:val="bullet"/>
      <w:lvlText w:val=""/>
      <w:lvlJc w:val="left"/>
      <w:pPr>
        <w:tabs>
          <w:tab w:val="num" w:pos="5112"/>
        </w:tabs>
        <w:ind w:left="5112" w:hanging="360"/>
      </w:pPr>
      <w:rPr>
        <w:rFonts w:ascii="Symbol" w:hAnsi="Symbol" w:hint="default"/>
      </w:rPr>
    </w:lvl>
    <w:lvl w:ilvl="7" w:tentative="1">
      <w:start w:val="1"/>
      <w:numFmt w:val="bullet"/>
      <w:lvlText w:val="o"/>
      <w:lvlJc w:val="left"/>
      <w:pPr>
        <w:tabs>
          <w:tab w:val="num" w:pos="5832"/>
        </w:tabs>
        <w:ind w:left="5832" w:hanging="360"/>
      </w:pPr>
      <w:rPr>
        <w:rFonts w:ascii="Courier New" w:hAnsi="Courier New" w:hint="default"/>
      </w:rPr>
    </w:lvl>
    <w:lvl w:ilvl="8" w:tentative="1">
      <w:start w:val="1"/>
      <w:numFmt w:val="bullet"/>
      <w:lvlText w:val=""/>
      <w:lvlJc w:val="left"/>
      <w:pPr>
        <w:tabs>
          <w:tab w:val="num" w:pos="6552"/>
        </w:tabs>
        <w:ind w:left="6552" w:hanging="360"/>
      </w:pPr>
      <w:rPr>
        <w:rFonts w:ascii="Wingdings" w:hAnsi="Wingdings" w:hint="default"/>
      </w:rPr>
    </w:lvl>
  </w:abstractNum>
  <w:abstractNum w:abstractNumId="4">
    <w:nsid w:val="301D7CB5"/>
    <w:multiLevelType w:val="hybridMultilevel"/>
    <w:tmpl w:val="D586F240"/>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nsid w:val="53563FBA"/>
    <w:multiLevelType w:val="multilevel"/>
    <w:tmpl w:val="0F06DF46"/>
    <w:lvl w:ilvl="0">
      <w:start w:val="1"/>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C416CC"/>
    <w:rsid w:val="000325BE"/>
    <w:rsid w:val="00057C1E"/>
    <w:rsid w:val="0006291B"/>
    <w:rsid w:val="0007214D"/>
    <w:rsid w:val="00073212"/>
    <w:rsid w:val="000740AA"/>
    <w:rsid w:val="000766A3"/>
    <w:rsid w:val="00086273"/>
    <w:rsid w:val="00086C9C"/>
    <w:rsid w:val="00104F47"/>
    <w:rsid w:val="001132C3"/>
    <w:rsid w:val="00136108"/>
    <w:rsid w:val="00151D7E"/>
    <w:rsid w:val="0016370B"/>
    <w:rsid w:val="00192B19"/>
    <w:rsid w:val="001B48E7"/>
    <w:rsid w:val="001E355B"/>
    <w:rsid w:val="001E47ED"/>
    <w:rsid w:val="001F26B3"/>
    <w:rsid w:val="001F3434"/>
    <w:rsid w:val="002045CD"/>
    <w:rsid w:val="00233025"/>
    <w:rsid w:val="002421F1"/>
    <w:rsid w:val="002479BD"/>
    <w:rsid w:val="00263CA9"/>
    <w:rsid w:val="00286A19"/>
    <w:rsid w:val="002B6109"/>
    <w:rsid w:val="002C67A0"/>
    <w:rsid w:val="002D27E3"/>
    <w:rsid w:val="002E0149"/>
    <w:rsid w:val="002E0F9C"/>
    <w:rsid w:val="002E1032"/>
    <w:rsid w:val="002F5AEA"/>
    <w:rsid w:val="00312AC2"/>
    <w:rsid w:val="0034476D"/>
    <w:rsid w:val="00350ACA"/>
    <w:rsid w:val="00394A5F"/>
    <w:rsid w:val="00397DE8"/>
    <w:rsid w:val="003A1480"/>
    <w:rsid w:val="003F7B4A"/>
    <w:rsid w:val="00401FCA"/>
    <w:rsid w:val="004354EF"/>
    <w:rsid w:val="0044798E"/>
    <w:rsid w:val="0046319D"/>
    <w:rsid w:val="004D290E"/>
    <w:rsid w:val="004E77D3"/>
    <w:rsid w:val="004F5935"/>
    <w:rsid w:val="005015EF"/>
    <w:rsid w:val="005126E0"/>
    <w:rsid w:val="005635F8"/>
    <w:rsid w:val="00566B2F"/>
    <w:rsid w:val="0057202B"/>
    <w:rsid w:val="00574BFA"/>
    <w:rsid w:val="005903FF"/>
    <w:rsid w:val="005A261D"/>
    <w:rsid w:val="005A72F6"/>
    <w:rsid w:val="005D0C6B"/>
    <w:rsid w:val="00640A9B"/>
    <w:rsid w:val="00641670"/>
    <w:rsid w:val="00644A83"/>
    <w:rsid w:val="00683916"/>
    <w:rsid w:val="00697DCC"/>
    <w:rsid w:val="006B1D6F"/>
    <w:rsid w:val="006C09D4"/>
    <w:rsid w:val="006C1492"/>
    <w:rsid w:val="007117F3"/>
    <w:rsid w:val="00753CDB"/>
    <w:rsid w:val="00753CE6"/>
    <w:rsid w:val="00761349"/>
    <w:rsid w:val="007843E9"/>
    <w:rsid w:val="00786A9A"/>
    <w:rsid w:val="0080528E"/>
    <w:rsid w:val="00846374"/>
    <w:rsid w:val="00862E7C"/>
    <w:rsid w:val="00871195"/>
    <w:rsid w:val="0087254E"/>
    <w:rsid w:val="00872E3A"/>
    <w:rsid w:val="0087544E"/>
    <w:rsid w:val="00881CB3"/>
    <w:rsid w:val="008B3A25"/>
    <w:rsid w:val="008C00C6"/>
    <w:rsid w:val="008C0179"/>
    <w:rsid w:val="008C339C"/>
    <w:rsid w:val="008E1C70"/>
    <w:rsid w:val="00923B8C"/>
    <w:rsid w:val="0092710A"/>
    <w:rsid w:val="00937562"/>
    <w:rsid w:val="00980189"/>
    <w:rsid w:val="009872D4"/>
    <w:rsid w:val="009A4664"/>
    <w:rsid w:val="009B4F4E"/>
    <w:rsid w:val="009C18F4"/>
    <w:rsid w:val="009E35AB"/>
    <w:rsid w:val="009F3C4C"/>
    <w:rsid w:val="009F6C34"/>
    <w:rsid w:val="00A87C13"/>
    <w:rsid w:val="00A9332D"/>
    <w:rsid w:val="00AA58EF"/>
    <w:rsid w:val="00AD22BB"/>
    <w:rsid w:val="00AE67DA"/>
    <w:rsid w:val="00AF69BD"/>
    <w:rsid w:val="00B16341"/>
    <w:rsid w:val="00B31AB2"/>
    <w:rsid w:val="00B44426"/>
    <w:rsid w:val="00B44E85"/>
    <w:rsid w:val="00B5780D"/>
    <w:rsid w:val="00B74E64"/>
    <w:rsid w:val="00B82B55"/>
    <w:rsid w:val="00BC7E22"/>
    <w:rsid w:val="00BD24A8"/>
    <w:rsid w:val="00BE3363"/>
    <w:rsid w:val="00C416CC"/>
    <w:rsid w:val="00C666F6"/>
    <w:rsid w:val="00C66C8F"/>
    <w:rsid w:val="00C76B21"/>
    <w:rsid w:val="00C82A39"/>
    <w:rsid w:val="00CA3478"/>
    <w:rsid w:val="00CB4A8C"/>
    <w:rsid w:val="00D02343"/>
    <w:rsid w:val="00D17565"/>
    <w:rsid w:val="00D21BA8"/>
    <w:rsid w:val="00D321B3"/>
    <w:rsid w:val="00D5258A"/>
    <w:rsid w:val="00D87AC4"/>
    <w:rsid w:val="00D907AE"/>
    <w:rsid w:val="00D92707"/>
    <w:rsid w:val="00D96678"/>
    <w:rsid w:val="00DD43C3"/>
    <w:rsid w:val="00E400A2"/>
    <w:rsid w:val="00E56EAC"/>
    <w:rsid w:val="00E73A08"/>
    <w:rsid w:val="00E92DE4"/>
    <w:rsid w:val="00F3026C"/>
    <w:rsid w:val="00FA1ADB"/>
    <w:rsid w:val="00FD1D3E"/>
    <w:rsid w:val="00FD4A40"/>
    <w:rsid w:val="00FE59C3"/>
    <w:rsid w:val="00FE62CE"/>
    <w:rsid w:val="00FF7C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Helvetica" w:hAnsi="Helvetica"/>
      <w:sz w:val="28"/>
      <w:lang w:eastAsia="en-US"/>
    </w:rPr>
  </w:style>
  <w:style w:type="paragraph" w:styleId="Heading1">
    <w:name w:val="heading 1"/>
    <w:basedOn w:val="Normal"/>
    <w:next w:val="Normal"/>
    <w:qFormat/>
    <w:pPr>
      <w:keepNext/>
      <w:jc w:val="both"/>
      <w:outlineLvl w:val="0"/>
    </w:pPr>
    <w:rPr>
      <w:rFonts w:ascii="Times New Roman" w:hAnsi="Times New Roman"/>
    </w:rPr>
  </w:style>
  <w:style w:type="paragraph" w:styleId="Heading2">
    <w:name w:val="heading 2"/>
    <w:basedOn w:val="Normal"/>
    <w:next w:val="Normal"/>
    <w:qFormat/>
    <w:pPr>
      <w:keepNext/>
      <w:jc w:val="both"/>
      <w:outlineLvl w:val="1"/>
    </w:pPr>
    <w:rPr>
      <w:rFonts w:ascii="Times New Roman" w:hAnsi="Times New Roman"/>
      <w:i/>
      <w:iCs/>
      <w:color w:val="000000"/>
    </w:rPr>
  </w:style>
  <w:style w:type="paragraph" w:styleId="Heading3">
    <w:name w:val="heading 3"/>
    <w:basedOn w:val="Normal"/>
    <w:next w:val="Normal"/>
    <w:qFormat/>
    <w:pPr>
      <w:keepNext/>
      <w:jc w:val="both"/>
      <w:outlineLvl w:val="2"/>
    </w:pPr>
    <w:rPr>
      <w:rFonts w:ascii="Times New Roman" w:hAnsi="Times New Roman"/>
      <w:i/>
    </w:rPr>
  </w:style>
  <w:style w:type="paragraph" w:styleId="Heading4">
    <w:name w:val="heading 4"/>
    <w:basedOn w:val="Normal"/>
    <w:next w:val="Normal"/>
    <w:qFormat/>
    <w:pPr>
      <w:keepNext/>
      <w:spacing w:line="360" w:lineRule="auto"/>
      <w:jc w:val="both"/>
      <w:outlineLvl w:val="3"/>
    </w:pPr>
    <w:rPr>
      <w:rFonts w:ascii="Times New Roman" w:hAnsi="Times New Roman"/>
      <w:b/>
      <w:i/>
      <w:color w:val="00000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b/>
      <w:sz w:val="36"/>
    </w:rPr>
  </w:style>
  <w:style w:type="paragraph" w:styleId="BodyText2">
    <w:name w:val="Body Text 2"/>
    <w:basedOn w:val="Normal"/>
    <w:rPr>
      <w:b/>
    </w:rPr>
  </w:style>
  <w:style w:type="paragraph" w:customStyle="1" w:styleId="DefaultParagraphFont2">
    <w:name w:val="Default Paragraph Font2"/>
    <w:rPr>
      <w:rFonts w:ascii="New York" w:eastAsia="Times New Roman" w:hAnsi="New York"/>
      <w:lang w:val="en-US" w:eastAsia="en-US"/>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customStyle="1" w:styleId="AGSComment">
    <w:name w:val="AGS Comment"/>
    <w:basedOn w:val="DefaultParagraphFont"/>
    <w:rPr>
      <w:rFonts w:ascii="Comic Sans MS" w:hAnsi="Comic Sans MS"/>
      <w:dstrike w:val="0"/>
      <w:color w:val="FF0000"/>
      <w:sz w:val="20"/>
      <w:vertAlign w:val="baseline"/>
    </w:rPr>
  </w:style>
  <w:style w:type="paragraph" w:styleId="BodyText3">
    <w:name w:val="Body Text 3"/>
    <w:basedOn w:val="Normal"/>
    <w:pPr>
      <w:jc w:val="both"/>
    </w:pPr>
    <w:rPr>
      <w:rFonts w:ascii="Times New Roman" w:hAnsi="Times New Roman"/>
    </w:rPr>
  </w:style>
  <w:style w:type="character" w:styleId="Hyperlink">
    <w:name w:val="Hyperlink"/>
    <w:basedOn w:val="DefaultParagraphFont"/>
    <w:rPr>
      <w:color w:val="0033CC"/>
      <w:u w:val="single"/>
    </w:rPr>
  </w:style>
  <w:style w:type="paragraph" w:styleId="BodyTextIndent">
    <w:name w:val="Body Text Indent"/>
    <w:basedOn w:val="Normal"/>
    <w:pPr>
      <w:ind w:left="72"/>
    </w:pPr>
    <w:rPr>
      <w:rFonts w:ascii="Times New Roman" w:hAnsi="Times New Roman"/>
    </w:rPr>
  </w:style>
  <w:style w:type="paragraph" w:styleId="Header">
    <w:name w:val="header"/>
    <w:basedOn w:val="Normal"/>
    <w:pPr>
      <w:tabs>
        <w:tab w:val="center" w:pos="4153"/>
        <w:tab w:val="right" w:pos="8306"/>
      </w:tabs>
    </w:pPr>
    <w:rPr>
      <w:rFonts w:ascii="Times New Roman" w:eastAsia="Times New Roman" w:hAnsi="Times New Roman"/>
      <w:sz w:val="26"/>
    </w:rPr>
  </w:style>
  <w:style w:type="paragraph" w:styleId="FootnoteText">
    <w:name w:val="footnote text"/>
    <w:basedOn w:val="Normal"/>
    <w:semiHidden/>
    <w:rPr>
      <w:sz w:val="20"/>
    </w:rPr>
  </w:style>
  <w:style w:type="character" w:styleId="FootnoteReference">
    <w:name w:val="footnote reference"/>
    <w:basedOn w:val="DefaultParagraphFont"/>
    <w:semiHidden/>
    <w:rPr>
      <w:vertAlign w:val="superscript"/>
    </w:rPr>
  </w:style>
  <w:style w:type="paragraph" w:styleId="BalloonText">
    <w:name w:val="Balloon Text"/>
    <w:basedOn w:val="Normal"/>
    <w:semiHidden/>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nicholson@imperia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4269</Words>
  <Characters>24334</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Pharmaco-metabonomic phenotyping and the prediction of drug metabolism and toxicity in individual subjects: a new paradigm for personalized healthcare?</vt:lpstr>
    </vt:vector>
  </TitlesOfParts>
  <Company>Imperial College</Company>
  <LinksUpToDate>false</LinksUpToDate>
  <CharactersWithSpaces>28546</CharactersWithSpaces>
  <SharedDoc>false</SharedDoc>
  <HLinks>
    <vt:vector size="6" baseType="variant">
      <vt:variant>
        <vt:i4>4522084</vt:i4>
      </vt:variant>
      <vt:variant>
        <vt:i4>0</vt:i4>
      </vt:variant>
      <vt:variant>
        <vt:i4>0</vt:i4>
      </vt:variant>
      <vt:variant>
        <vt:i4>5</vt:i4>
      </vt:variant>
      <vt:variant>
        <vt:lpwstr>mailto:j.nicholson@imperial.ac.uk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Pharmaco-metabonomic phenotyping and the prediction of drug metabolism and toxicity in individual subjects: a new paradigm for personalized healthcare?</dc:title>
  <dc:subject/>
  <dc:creator>Jeremy Nicholson</dc:creator>
  <cp:keywords/>
  <cp:lastModifiedBy>Library &amp; Information Services (ICT)</cp:lastModifiedBy>
  <cp:revision>2</cp:revision>
  <cp:lastPrinted>2006-01-27T11:25:00Z</cp:lastPrinted>
  <dcterms:created xsi:type="dcterms:W3CDTF">2011-02-15T14:37:00Z</dcterms:created>
  <dcterms:modified xsi:type="dcterms:W3CDTF">2011-02-15T14:37:00Z</dcterms:modified>
</cp:coreProperties>
</file>